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409" w:rsidRPr="001A3E7F" w:rsidRDefault="00F37409" w:rsidP="00F374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CLASIFICACIÓN Y CARTOGRAFÍA DE SUELOS TROPICALES</w:t>
      </w:r>
    </w:p>
    <w:p w:rsidR="00F37409" w:rsidRPr="001A3E7F" w:rsidRDefault="00F37409" w:rsidP="00F374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F37409" w:rsidRPr="00BD05AE" w:rsidTr="004D2475">
        <w:tc>
          <w:tcPr>
            <w:tcW w:w="6572" w:type="dxa"/>
            <w:gridSpan w:val="3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605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F37409" w:rsidRPr="00BD05AE" w:rsidTr="004D2475">
        <w:tc>
          <w:tcPr>
            <w:tcW w:w="13144" w:type="dxa"/>
            <w:gridSpan w:val="8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F37409" w:rsidRPr="00BD05AE" w:rsidTr="004D2475">
        <w:tc>
          <w:tcPr>
            <w:tcW w:w="6629" w:type="dxa"/>
            <w:gridSpan w:val="4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F37409" w:rsidRPr="00BD05AE" w:rsidRDefault="00F37409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Comunicación oral y escrita. 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Trabajo en equipo. 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los recursos naturales para la producción agroalimentaria en el trópico, con base en criterios de sustentabilidad.</w:t>
            </w:r>
          </w:p>
        </w:tc>
      </w:tr>
      <w:tr w:rsidR="00F37409" w:rsidRPr="00BD05AE" w:rsidTr="004D2475">
        <w:tc>
          <w:tcPr>
            <w:tcW w:w="13144" w:type="dxa"/>
            <w:gridSpan w:val="8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PROPÓSITO GENERAL: 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37409" w:rsidRPr="0033688A" w:rsidRDefault="00F37409" w:rsidP="00F374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anejar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metodologías de clasificación y cartografía de los suelos para diseñar sistemas de producción agrícolas sustentables en el trópico.</w:t>
            </w:r>
          </w:p>
        </w:tc>
      </w:tr>
      <w:tr w:rsidR="00F37409" w:rsidRPr="00BD05AE" w:rsidTr="004D2475">
        <w:tc>
          <w:tcPr>
            <w:tcW w:w="6644" w:type="dxa"/>
            <w:gridSpan w:val="5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APRENDIZAJES ESPERADOS: 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características relacionadas con la producción agroalimentaria en el ambiente tropical.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Caracterizar física y químicamente los suelos con base en las normas vigentes.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Manejar la influencia de los factores y procesos de formación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de suelos sobre las propiedades de los mismos.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Describir morfológicamente los suelos tropicales.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Clasificar suelos tropicales de acuerdo con la clasificación más actual que exista. 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cartografía de suelos en sistemas de producción agrícolas y áreas naturales.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 sistema de manejo sustentable de suelos, considerando la clasificación y cartografía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Ensayos el ambiente tropical y sobre los factores y procesos de formación de suelos, con sus características y potencialidades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caracterización de suelos del trópico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Reportes de prácticas de descripción morfológica de suelos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con discusión sobre el manejo sustentable de los mismos.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Reportes de clasificación de suelos con el sistema de la WRB. 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Cartografía de suelos de regiones típicas del trópico mexicano.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 sobre el diseño de uso sustentable de los suelos de determinadas regiones tropicales, con base en la clasificación y cartografía de los suelos.</w:t>
            </w:r>
          </w:p>
        </w:tc>
      </w:tr>
      <w:tr w:rsidR="00F37409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F37409" w:rsidRPr="006A69C6" w:rsidRDefault="00F37409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A6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 Suelos y ambiente tropical 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1.1. Los suelos tropicales. 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Localización geográfica del trópico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 Climas tropicales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Vegetación natural en el trópico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1,5. Sistemas de producción en el trópico.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1.6.. Geología y geomorfología en ambientes tropicales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II.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Caracteristicas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propiedades de los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Profundidad de enraizamiento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Estructura del suelo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 Retención y movimiento de agua en el suelo, capacidad de campo y punto de marchitamiento permanente.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2.4. Textura y consistencia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2.5. Erosión y escorrentía en el suelo.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2.6. Nitrógeno, fósforo y potasio del suelo.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2.7. Materia orgánica y carbono del suelo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2.8. El complejo de intercambio del suelo y bases intercambiables.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2.9.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pH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>, acidez y acidez intercambiable.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2.10. Morfología y descripción de suelos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III. Factores de formación de suelos en el trópico.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Clima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 Organismos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3.3.  Material parental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3.4. Relieve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3.5. Tiempo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3.6. Efecto del hombre.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 Procesos de formación de suelos en el trópico.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Climatogénicos</w:t>
            </w:r>
            <w:proofErr w:type="spellEnd"/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Organogénicos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Litogénicos</w:t>
            </w:r>
            <w:proofErr w:type="spellEnd"/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Topogénicos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4.5.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Cronogénicos</w:t>
            </w:r>
            <w:proofErr w:type="spellEnd"/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4.6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Antropogénicos</w:t>
            </w:r>
            <w:proofErr w:type="spellEnd"/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V. Clasificación de suelos. 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5.1. Sistema de clasificación de suelos usados en el trópico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5.2. El método del sistema de taxonomía de suelos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5.3. Ordenes de suelos presentes en el trópico.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5.4. El método del Referencial Mundial de Suelos (WRB).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5.5. Grupos de suelos presentes en los trópicos.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VI. Cartografía de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6.1. Métodos de estudios y levantamientos de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6.2. Métodos de sistemas cartográficos de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6.3. Métodos para reconocimiento y muestreo de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6.4. El Sistema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geomorfopedológico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para cartografiar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VII. Uso y manejo sustentables de los suelos en el trópico.</w:t>
            </w:r>
          </w:p>
          <w:p w:rsidR="00F37409" w:rsidRPr="00BD05AE" w:rsidRDefault="00F37409" w:rsidP="00F37409">
            <w:pPr>
              <w:pStyle w:val="Textoindependiente"/>
              <w:numPr>
                <w:ilvl w:val="1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Sustentabilidad y productividad.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7.2. Degradación versus conservación del suelo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7.3. Diseño de manejo sustentable de suelos en diferentes escalas y zonas agrícolas.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F37409" w:rsidRPr="006A69C6" w:rsidRDefault="00F37409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A69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Realizar ensayos sobre suelos y el ambiente tropical.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Describir morfológicamente los suelos.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Manejar sistemas de clasificación y cartografía de los suelos para diseñar sistemas de producción agrícolas sustentables en el trópico.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F37409" w:rsidRPr="002E26F7" w:rsidRDefault="00F37409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2E26F7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Disciplina.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Trabajo en equipo.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Presentación y defensa de sus ideas.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Discusión de datos.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Discusión de conceptos e ideas.</w:t>
            </w: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409" w:rsidRPr="00BD05AE" w:rsidTr="004D2475">
        <w:tc>
          <w:tcPr>
            <w:tcW w:w="13144" w:type="dxa"/>
            <w:gridSpan w:val="8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F37409" w:rsidRPr="00BD05AE" w:rsidTr="004D2475">
        <w:trPr>
          <w:trHeight w:val="557"/>
        </w:trPr>
        <w:tc>
          <w:tcPr>
            <w:tcW w:w="6572" w:type="dxa"/>
            <w:gridSpan w:val="3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artículos científicos.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Síntesis de artículos científicos.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campo y gabinete.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 sobre las metodologías.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Exposición de seminarios.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Lectura y síntesis de artículos científicos. 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de reportes de prácticas 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individual y en equipo.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ensayos</w:t>
            </w: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Análisis de experiencias</w:t>
            </w:r>
          </w:p>
        </w:tc>
      </w:tr>
      <w:tr w:rsidR="00F37409" w:rsidRPr="00BD05AE" w:rsidTr="004D2475">
        <w:tc>
          <w:tcPr>
            <w:tcW w:w="4381" w:type="dxa"/>
            <w:gridSpan w:val="2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ACREDITACIÓN: 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el Reglamento de Actividades Académicas vigente.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EVALUACIÓN: 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A960C7" w:rsidRDefault="00F37409" w:rsidP="00F374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Se revisarán cada mes los avances.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Ensayos 30%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Reportes 30%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Cartografía de suelos 10%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Ensayo final 30%</w:t>
            </w:r>
          </w:p>
        </w:tc>
      </w:tr>
      <w:tr w:rsidR="00F37409" w:rsidRPr="00BD05AE" w:rsidTr="004D2475">
        <w:tc>
          <w:tcPr>
            <w:tcW w:w="6572" w:type="dxa"/>
            <w:gridSpan w:val="3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Academia Nacional de Ciencias, Washington, E.U.A. 1975. Suelos de las regiones tropicales húmedas. Ed.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Marymar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Fasbender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H. 1975. Química de suelos, con énfasis en suelos de América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Latia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IICA, San José de Costa Rica.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Greenland, D.J. and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1979. Soil conservation and management in the humid tropics.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Chichester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Wiley.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Hardy, F. 1970.  Edafología Tropical. México. Ed. Herrera.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Hardy, F. 1970.  Suelos tropicales. Pedología tropical con énfasis en América Latina. México Ed. Herrera.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Hudson, N. 1973. Soil Conservation. Ithaca. Cornell.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INEGI. 2008. Características edafológicas, fisiográficas, climáticas e hidrográficas de México. http://www.inegi.org.mx/inegi/SPC/doc/INTERNET/1-GEOGRAFIADEMEXICO/MANUALCARACEDAFIS_VS_ENERO_29_2008.pdf.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IUSS Working Group WRB. 2014. Word Reference Base for Soil Resorces2014. International soil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clasification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system for naming soils and creating legends for soils maps. Word Soil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Resorce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Reports No. 106. FAO, Rome Italy. 181 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Juo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 S.R. and K.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Franzluebbers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2003. Tropical soils,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Properties and Management for Sustainable Agriculture. Oxford University Press, Inc. New York, USA. 273p.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Ortiz V.B. y Ortiz S.C.A. 1988. Edafología UACH, 7º ed.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Chapingo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México.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Pearson, R.W. and F. Adams. 1967. Soil acidity and liming. American Society of Agronomy. Madison. WI.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Pla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Sentis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I.  1994. Soil degradation and climate-induced risk of crop production in the tropics.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Congreso Mundial de la S. M.C.S. Vol. 1.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Acapulco, Mex.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Palma-López D.J., J. Cisneros D., E. Moreno C. y J. A. Rincón-Ramírez. 2007. Suelos de Tabasco: su uso y manejo sustentable. 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- ISPROTAB-FUPROTAB.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Villahermosa, Tabasco, México.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Palma-­</w:t>
            </w:r>
            <w:r w:rsidRPr="00BD05AE">
              <w:rPr>
                <w:rFonts w:ascii="Cambria Math" w:hAnsi="Cambria Math" w:cs="Cambria Math"/>
                <w:sz w:val="24"/>
                <w:szCs w:val="24"/>
              </w:rPr>
              <w:t>‐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Lopez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D.J. y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Triano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S. (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comps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.) 2007. Plan de uso sustentable de los suelos de Tabasco volumen II. Ed.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Colegio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-ISPROTAB-FUPROTAB. Villahermosa, Tabasco. 180 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Palma-López, D. J., E. Moreno C., J.A. Rincón-Ramírez, E. 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Shirma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T. 2008. Degradación y conservación de los suelos del estado de Tabasco.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Col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egio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Postgraduados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CONACYT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CCYTET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Villahermosa, Tabasco, México. 74 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Proccedings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International Seminar on Soil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Enviroment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Fertility Management in Intensive Agriculture. 1997.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Tokio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Japón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Sánchez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 A. 1994. Tropical soil fertility research: towards the second paradigm.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Congreso Mundial de la S. M.C.S. Vol. 1. Acapulco,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Mex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Salgado-García S. Palma-López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d.j.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Castelán-Estrada M.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Lagunes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-Espinosa L.C. y Ortiz L.H. 2013. Manual para el muestreo de suelos, plantas y aguas e interpretación de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análisis para la producción sostenible de alimentos. 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Campus Tabasco. H. Cárdenas, Tabasco. México. 101p.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Soil surveys staff. 2014. Keys to soil taxonomy. Twelfth Edition. United States Department of Agriculture. Natural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Resour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ces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Conservation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Service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Washington, D.C. USA. 372p.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>Tamhane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R.V. et. Al. 1978.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Suelos: su química y fertilidad en zonas tropicales. México Ed. Diana.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Diest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1994. Agricultural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sostainability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soil nutrients cycling, with emphasis on tropical soils.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In. Congreso Mundial de la S. M.C.S. Vol. 5ª.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Wong. M. F., 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Nortclif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R. S. Swift. 1994. Role of organic matter-Al Complexes in the amelioration of soil acidity.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In: Congreso Mundial de la S. M.C.S. Vol. 5ª.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Zavala C. J., D. J. Palma-López, C. R. Fernández C., A. López C. y 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Shirma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T. 2011. Degradación y conservación de suelos en la cuenca de rio Grijalva, Tabasco. Colegio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Postgraduados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Secretaría de Recursos Naturales Y Protección Ambiental y Pemex.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Villahermosa, Tabasco,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México. 90 p.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Zinc J.A. 2012.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Geopedología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Elementos de geomorfología para estudios de suelos y de riesgos naturales.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ITC Special Lecture Notes Series.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Enschede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Netherlands. 131p.</w:t>
            </w:r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REVISTAS CIENTÍFICAS:</w:t>
            </w:r>
          </w:p>
          <w:p w:rsidR="00F37409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Terra Latinoamericana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Soil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European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Soil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Ecosistemas y recursos Agropecuarios</w:t>
            </w:r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Geoderma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</w:t>
            </w:r>
            <w:r>
              <w:rPr>
                <w:rFonts w:ascii="Times New Roman" w:hAnsi="Times New Roman"/>
                <w:sz w:val="24"/>
                <w:szCs w:val="24"/>
              </w:rPr>
              <w:t>ociencia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Agroproductividad</w:t>
            </w:r>
            <w:proofErr w:type="spellEnd"/>
          </w:p>
          <w:p w:rsidR="00F37409" w:rsidRPr="00BD05AE" w:rsidRDefault="00F37409" w:rsidP="004D2475">
            <w:pPr>
              <w:pStyle w:val="Textoindependiente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Revista de Geografía Norte Grande</w:t>
            </w:r>
          </w:p>
          <w:p w:rsidR="00F37409" w:rsidRPr="004A39C8" w:rsidRDefault="00F374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9C8">
              <w:rPr>
                <w:rFonts w:ascii="Times New Roman" w:hAnsi="Times New Roman"/>
                <w:sz w:val="24"/>
                <w:szCs w:val="24"/>
                <w:lang w:val="en-US"/>
              </w:rPr>
              <w:t>Spanish Journal of Soil Science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BIBLIOGRAFÍA COMPLEMENTARIA: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assesment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constraints, management solutions and research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aproaches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In.: Congreso Mundial de la S.M.C.S. Vol. 5ª.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Dipankar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Saha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1994. Influence of successive cropping on N-transformation in tropical soils.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XXV Congreso Mundial de la S.M.C.S. Vol. 5b.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Acapulco, Mex.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Doberman, A. y T. George.  1994. Field-scale soil fertility variability in acid tropical soils.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XXV Congreso Mundial de la S.M.C.S. Vol. 5ª. Acapulco,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Mex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Kirk, G.J.D. and R.S. Zeigler.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1994. The use of adapted cultivars in acid soil improvement.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In: Congreso Mundial de la S.M.C.S. Vol. 5ª. México.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López W., González, D. and E. Casas.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1994. Socioeconomic aspects of acid soil management: the case of southeast Mexico In: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Congreso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Mundial de la S. M.C.S. Vol. 5</w:t>
            </w:r>
            <w:r w:rsidRPr="00BD05A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Acapulco, Mex.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Myers, R. J. K. 1994. Management of soil acidity in the tropics In.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Congreso Mundial de la S. M.C.S. Vol. 5ª. Acapulco,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Mex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Nguyen tu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>Siem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et. Al. 1994.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Advances in managing acid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upland soils in Southeast Asia.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Congreso Mundial de la S.M.C.S. Vol. 5ª.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Pandey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H.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Ceballos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G. Granados. 1994. Development of soil acidity tolerant maize cultivars for the tropics.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Congreso Mundial de la S.M.C.S. Vol. 5ª. 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>Phiri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S. E.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>Pauw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and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>Mapiki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1994. Management of acid soils in Africa. An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Assesment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constraints, management solutions and research approaches. In: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Congreso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Mundial de la S. M.C.S. Vol. 5ª.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Acapulco,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Mex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F37409">
            <w:pPr>
              <w:pStyle w:val="Textoindependiente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Thomas, R. J.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et al. 1994.</w:t>
            </w:r>
            <w:r w:rsidRPr="00BD05A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Forage legumes-the means to reverse tropical soil degradation with low inputs?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In: Congreso Mundial de la S. M.C.S. Vol. 5ª. Acapulco,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Mex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7409" w:rsidRPr="00BD05AE" w:rsidRDefault="00F374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83B13" w:rsidRDefault="00183B13"/>
    <w:sectPr w:rsidR="00183B13" w:rsidSect="00F374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2AF"/>
    <w:multiLevelType w:val="hybridMultilevel"/>
    <w:tmpl w:val="AEFA423C"/>
    <w:lvl w:ilvl="0" w:tplc="080A0005">
      <w:start w:val="1"/>
      <w:numFmt w:val="bullet"/>
      <w:lvlText w:val=""/>
      <w:lvlJc w:val="left"/>
      <w:pPr>
        <w:ind w:left="-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">
    <w:nsid w:val="10070ED3"/>
    <w:multiLevelType w:val="hybridMultilevel"/>
    <w:tmpl w:val="DA78B37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46308C"/>
    <w:multiLevelType w:val="hybridMultilevel"/>
    <w:tmpl w:val="3B56CC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ED0CD8"/>
    <w:multiLevelType w:val="hybridMultilevel"/>
    <w:tmpl w:val="CA8CDB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13945"/>
    <w:multiLevelType w:val="multilevel"/>
    <w:tmpl w:val="FDD6A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684373"/>
    <w:multiLevelType w:val="hybridMultilevel"/>
    <w:tmpl w:val="A9468252"/>
    <w:lvl w:ilvl="0" w:tplc="37F65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AEC4F8A"/>
    <w:multiLevelType w:val="hybridMultilevel"/>
    <w:tmpl w:val="2F7E6C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A47E51"/>
    <w:multiLevelType w:val="hybridMultilevel"/>
    <w:tmpl w:val="7BC2464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37409"/>
    <w:rsid w:val="00183B13"/>
    <w:rsid w:val="00F3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09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37409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37409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F37409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F37409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1628</Words>
  <Characters>8958</Characters>
  <Application>Microsoft Office Word</Application>
  <DocSecurity>0</DocSecurity>
  <Lines>74</Lines>
  <Paragraphs>21</Paragraphs>
  <ScaleCrop>false</ScaleCrop>
  <Company> </Company>
  <LinksUpToDate>false</LinksUpToDate>
  <CharactersWithSpaces>10565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2016-07-25T19:51:00Z</dcterms:created>
  <dcterms:modified xsi:type="dcterms:W3CDTF">2016-07-25T19:52:00Z</dcterms:modified>
</cp:coreProperties>
</file>