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COLEGIO DE POSTGRADUADOS</w:t>
      </w: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CAMPUS TABASCO</w:t>
      </w: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PROGRAMA DE ESTUDIO</w:t>
      </w: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s-MX"/>
        </w:rPr>
      </w:pPr>
      <w:r w:rsidRPr="00751702">
        <w:rPr>
          <w:rFonts w:ascii="Times New Roman" w:hAnsi="Times New Roman"/>
          <w:b/>
          <w:sz w:val="24"/>
          <w:szCs w:val="24"/>
        </w:rPr>
        <w:t>NUTRICIÓN DE RUMIANTES</w:t>
      </w:r>
    </w:p>
    <w:p w:rsidR="002465EC" w:rsidRPr="00751702" w:rsidRDefault="002465EC" w:rsidP="00246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31"/>
        <w:gridCol w:w="51"/>
      </w:tblGrid>
      <w:tr w:rsidR="002465EC" w:rsidRPr="002276BB" w:rsidTr="004D2475">
        <w:tc>
          <w:tcPr>
            <w:tcW w:w="6572" w:type="dxa"/>
            <w:gridSpan w:val="3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CLAVE: PAT 609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2465EC" w:rsidRPr="002276BB" w:rsidTr="004D2475">
        <w:tc>
          <w:tcPr>
            <w:tcW w:w="13144" w:type="dxa"/>
            <w:gridSpan w:val="8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2465EC" w:rsidRPr="002276BB" w:rsidTr="004D2475">
        <w:tc>
          <w:tcPr>
            <w:tcW w:w="6629" w:type="dxa"/>
            <w:gridSpan w:val="4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s-MX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Capacidad para identificar, planear y resolver problemas.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Capacidad de aplicar el conocimiento en la práctica.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Capacidad para adaptarse a nuevas situaciones.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Capacidad de generar nuevas ideas creativas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MX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Compromiso con la calidad</w:t>
            </w:r>
          </w:p>
        </w:tc>
        <w:tc>
          <w:tcPr>
            <w:tcW w:w="6515" w:type="dxa"/>
            <w:gridSpan w:val="4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ind w:left="357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Desarrollar sistemas agroalimentarios para mejorarlos, en el marco de un proceso de investigación científica interdisciplinaria, con base en la sustentabilidad. </w:t>
            </w:r>
          </w:p>
        </w:tc>
      </w:tr>
      <w:tr w:rsidR="002465EC" w:rsidRPr="002276BB" w:rsidTr="004D2475">
        <w:tc>
          <w:tcPr>
            <w:tcW w:w="13144" w:type="dxa"/>
            <w:gridSpan w:val="8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2465EC" w:rsidRPr="002276BB" w:rsidRDefault="002465EC" w:rsidP="004D24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es-MX"/>
              </w:rPr>
            </w:pPr>
            <w:r w:rsidRPr="002276BB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Analizar los recursos disponibles tropicales con potencial alimenticio, su proceso digestivo, metabólico,  energético,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 xml:space="preserve"> con </w:t>
            </w:r>
            <w:r w:rsidRPr="002276BB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 xml:space="preserve"> eficiencia y sustentabilidad en los animales rumiantes, para desarrollar sistemas de alimentación para la producción de carne y leche en las regiones tropicales.</w:t>
            </w:r>
          </w:p>
        </w:tc>
      </w:tr>
      <w:tr w:rsidR="002465EC" w:rsidRPr="002276BB" w:rsidTr="004D2475">
        <w:tc>
          <w:tcPr>
            <w:tcW w:w="6644" w:type="dxa"/>
            <w:gridSpan w:val="5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Caracterizar los principales alimentos disponibles en el trópico y evaluar las limitaciones nutricionales para los bovinos.</w:t>
            </w:r>
          </w:p>
          <w:p w:rsidR="002465EC" w:rsidRPr="002276BB" w:rsidRDefault="002465EC" w:rsidP="002465EC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Describir </w:t>
            </w: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el funcionamiento del sistema digestivo en los animales rumiantes </w:t>
            </w:r>
          </w:p>
          <w:p w:rsidR="002465EC" w:rsidRPr="002276BB" w:rsidRDefault="002465EC" w:rsidP="002465EC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lastRenderedPageBreak/>
              <w:t>E</w:t>
            </w: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xplicar </w:t>
            </w: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el funcionamiento de los procesos metabólicos en la utilización de los nutrientes de los animales rumiantes </w:t>
            </w:r>
          </w:p>
          <w:p w:rsidR="002465EC" w:rsidRPr="002276BB" w:rsidRDefault="002465EC" w:rsidP="002465EC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Aplicar </w:t>
            </w: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las metodologías para evaluar el valor nutritivo y la calidad de los alimentos.</w:t>
            </w:r>
          </w:p>
          <w:p w:rsidR="002465EC" w:rsidRPr="002276BB" w:rsidRDefault="002465EC" w:rsidP="002465EC">
            <w:pPr>
              <w:pStyle w:val="Prrafodelista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 xml:space="preserve">Aplicar </w:t>
            </w:r>
            <w:r w:rsidRPr="002276BB">
              <w:rPr>
                <w:rFonts w:ascii="Times New Roman" w:eastAsia="Calibri" w:hAnsi="Times New Roman"/>
                <w:color w:val="000000"/>
                <w:sz w:val="24"/>
                <w:szCs w:val="24"/>
                <w:lang w:val="es-ES"/>
              </w:rPr>
              <w:t xml:space="preserve">las metodologías para evaluar los residuos de cosecha, </w:t>
            </w:r>
            <w:r w:rsidRPr="002276BB"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  <w:t>procesamiento y</w:t>
            </w:r>
            <w:r w:rsidRPr="002276BB">
              <w:rPr>
                <w:rFonts w:ascii="Times New Roman" w:eastAsia="Calibri" w:hAnsi="Times New Roman"/>
                <w:color w:val="000000"/>
                <w:sz w:val="24"/>
                <w:szCs w:val="24"/>
                <w:lang w:val="es-ES"/>
              </w:rPr>
              <w:t xml:space="preserve"> conservación para utilizarlos como alimentos en los sistemas de producción de rumiantes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3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Ensayo sobre los alimentos disponibles en el trópico, CON SUS PERSPECTIVAS DE INVESTIGACION.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Ensayo sobre el desarrollo del sistema digestivo de los rumiantes 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E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nsayo sobre el metabolismo de los nutrientes en los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animales rumiantes con enfoque a la producción de carne y leche 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Reporte de prácticas de laboratorio 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Análisis de datos de laboratorio sobre la composición de alimentos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5EC" w:rsidRPr="002276BB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1.  Principios básicos de la nutrición animal y sus aplicaciones en la alimentación práctica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2. Clasificación y características nutritiva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 xml:space="preserve">s de los alimentos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2.1.Valor nutritivo de los alimentos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a)composición química de los alimentos  como los carbohidratos, lípidos, proteínas, vitaminas, minerales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b)Digestibilidad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2.2.Terminología y clasificación de los alimentos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2.3. Métodos de evaluación del valor nutritivo y la calidad de los alimentos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2.4. Disponibilidad y potencialidad de los alimentos en el trópico.  Sus perspectivas de investigación.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3.Anatomía y fisiología del aparato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digestivo de animales rumiant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 xml:space="preserve">es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>3.1.Proceso de diferenciación y desarrollo del tracto digestivo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a)Efecto de la edad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b)Efecto de la dieta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3.2.Fisiología digestiva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a)Secreción salival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b)Ingestión,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rumiación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, eructación y motilidad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3.3 Digestión y absorción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posruminal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de los nutrientes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.3.4. Desarrollo anatómico fisiológico de la pared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</w:rPr>
              <w:t>ruminal</w:t>
            </w:r>
            <w:proofErr w:type="spellEnd"/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3.5. Digestión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</w:rPr>
              <w:t>ruminal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</w:rPr>
              <w:t>posruminal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</w:rPr>
              <w:t xml:space="preserve"> de carbohidratos, proteínas, lípidos y minerales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4. Microbiología y digestión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rumina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l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</w:rPr>
              <w:t xml:space="preserve"> en rumiantes y cecal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4.1.  Clasificación y crecimiento de la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microflora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del rumen y ciego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4.2.  Requerimientos nutritivos de las bacterias y protozoarios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4.3.Factores que influyen en el establecimiento de la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microflora</w:t>
            </w:r>
            <w:proofErr w:type="spellEnd"/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5. Metabolismo de los nutrientes en animales rumi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 xml:space="preserve">antes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5.1.Metabolismo de carbohidratos y utilización de la energía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5.2.Metabolismo de la proteínas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5.3.Metabolismo de los lípidos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5.4.Metabolismo de los minerales y vitaminas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6. Fisiología d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el consumo voluntario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6.1 Mecanismos de control del consumo y factores que los afectan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6.2 Consumo voluntario de animales en pastoreo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7. Requerimientos de nutrientes en los diferentes etapas productivas de los animales rumiantes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Textoindependiente"/>
              <w:numPr>
                <w:ilvl w:val="0"/>
                <w:numId w:val="5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Aplicar técnicas y metodologías de análisis químico,  de los alimentos disponibles en el trópico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Manejar como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los alimentos influyen en cambios anatómicos y fisiológicos del tracto digestivo y eficiencia de utilización de los alimentos en  los animales rumiantes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Evaluar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>la relación que existe entre la fisiología del consumo voluntario y la capacidad productiva d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los animales rumiantes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5EC" w:rsidRPr="002276BB" w:rsidRDefault="002465E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31" w:type="dxa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Disposición para trabajo en equipo</w:t>
            </w:r>
          </w:p>
          <w:p w:rsidR="002465EC" w:rsidRPr="002276BB" w:rsidRDefault="002465E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Participativo</w:t>
            </w:r>
          </w:p>
          <w:p w:rsidR="002465EC" w:rsidRPr="002276BB" w:rsidRDefault="002465E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Actitud crítica</w:t>
            </w:r>
          </w:p>
          <w:p w:rsidR="002465EC" w:rsidRPr="002276BB" w:rsidRDefault="002465EC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Respeto y tolerancia</w:t>
            </w:r>
          </w:p>
        </w:tc>
      </w:tr>
      <w:tr w:rsidR="002465EC" w:rsidRPr="002276BB" w:rsidTr="004D2475">
        <w:tc>
          <w:tcPr>
            <w:tcW w:w="13144" w:type="dxa"/>
            <w:gridSpan w:val="8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2465EC" w:rsidRPr="002276BB" w:rsidTr="004D2475">
        <w:tc>
          <w:tcPr>
            <w:tcW w:w="6572" w:type="dxa"/>
            <w:gridSpan w:val="3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Exposición oral introduct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oria d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>el profesor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Análisis y discusión de artículos científicos 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R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esolución de problemas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A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>nálisis de datos de practica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s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Mesas redondas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 xml:space="preserve">Investigación en </w:t>
            </w:r>
            <w:r w:rsidRPr="002276BB">
              <w:rPr>
                <w:rFonts w:ascii="Times New Roman" w:eastAsia="Calibri" w:hAnsi="Times New Roman"/>
                <w:sz w:val="24"/>
                <w:szCs w:val="24"/>
              </w:rPr>
              <w:t>artíc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ulos científicos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Estudios de c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asos reales y simulados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Plant</w:t>
            </w:r>
            <w:r w:rsidRPr="002276BB">
              <w:rPr>
                <w:rFonts w:ascii="Times New Roman" w:hAnsi="Times New Roman"/>
                <w:sz w:val="24"/>
                <w:szCs w:val="24"/>
              </w:rPr>
              <w:t>ear alternativas de manejo</w:t>
            </w: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>Reporte de prácticas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65EC" w:rsidRPr="002276BB" w:rsidTr="004D2475">
        <w:tc>
          <w:tcPr>
            <w:tcW w:w="4381" w:type="dxa"/>
            <w:gridSpan w:val="2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De acuerdo a lo establecido en el Reglamento de Actividades Académicas vigente.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465EC" w:rsidRPr="002276BB" w:rsidRDefault="002465EC" w:rsidP="002465E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Al término de cada tema se valorará el desarrollo del curso.</w:t>
            </w:r>
          </w:p>
        </w:tc>
        <w:tc>
          <w:tcPr>
            <w:tcW w:w="4382" w:type="dxa"/>
            <w:gridSpan w:val="2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55% Tres ensayos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20% Reporte de prácticas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</w:rPr>
              <w:t>25% Análisis de datos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5EC" w:rsidRPr="002276BB" w:rsidTr="004D2475">
        <w:tc>
          <w:tcPr>
            <w:tcW w:w="6572" w:type="dxa"/>
            <w:gridSpan w:val="3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A.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Shimada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. Fundamentos de nutrición animal comparativa. Editado por Consultores de Producción Animal S.C. México 1985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Maynard L.A.,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Loosli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J.K. Animal Nutrition Editorial McGraw Hill Book Company (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ultima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edición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)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Preston T.R.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Willis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M.B. Producción Intensiva de carne. Editorial Diana. México (última Edición)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Sisson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A., Grossman J.D. Anatomía de los animales domésticos.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Slvat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Editores S.A. (última Edición)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Preston T.R.,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</w:rPr>
              <w:t>Leng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</w:rPr>
              <w:t xml:space="preserve"> R. R. Ajustando los sistemas de producción pecuaria a los recursos disponibles. Aspectos básicos y aplicados del nuevo enfoque sobre la nutrición de rumiantes en el trópico. </w:t>
            </w:r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Editorial CONDRIT Cali Colombia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Van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Soest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P.J.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Ntitional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Ecology of the </w:t>
            </w:r>
            <w:proofErr w:type="gram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ruminant .</w:t>
            </w:r>
            <w:proofErr w:type="gram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Ruminant Metabolism Nutritional Strategies the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cellulolytic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fermentation and the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chemestry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of forages and plant fibers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Publicado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por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O. B. Books Inc 1215 NW Kline place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Corvalles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Oregon 97330 United States America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Bioquímica nutricional Tomo I Editorial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Edica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                                                                       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 xml:space="preserve">Bioquímica nutricional Tomo II Editorial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s-ES"/>
              </w:rPr>
              <w:t>Edica</w:t>
            </w:r>
            <w:proofErr w:type="spellEnd"/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Forage cell Wall </w:t>
            </w:r>
            <w:proofErr w:type="spellStart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estructure</w:t>
            </w:r>
            <w:proofErr w:type="spellEnd"/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and digestibility H.G. Jung , D.R. </w:t>
            </w:r>
            <w:r w:rsidRPr="002276BB">
              <w:rPr>
                <w:rFonts w:ascii="Times New Roman" w:eastAsia="Calibri" w:hAnsi="Times New Roman"/>
                <w:sz w:val="24"/>
                <w:szCs w:val="24"/>
                <w:lang w:val="en-US"/>
              </w:rPr>
              <w:lastRenderedPageBreak/>
              <w:t>Buxton, D.R. Hatfield and J. Ralph</w:t>
            </w:r>
          </w:p>
        </w:tc>
        <w:tc>
          <w:tcPr>
            <w:tcW w:w="6572" w:type="dxa"/>
            <w:gridSpan w:val="5"/>
            <w:shd w:val="clear" w:color="auto" w:fill="auto"/>
          </w:tcPr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Los pastos en Cuba Tomo I y Tomo II. Editorial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>Edica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Cuba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Producción de carne en el trópico Editorial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>Edica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Cuba 1990</w:t>
            </w:r>
            <w:r w:rsidRPr="002276BB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   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Revistas: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>1. Revista Cubana de Ciencia Agrícola 1965- 2014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2, Journal Animal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>Sciencie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1990-2014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Journal Dairy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>Sciencie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1990-2014</w:t>
            </w:r>
          </w:p>
          <w:p w:rsidR="002465EC" w:rsidRPr="002276BB" w:rsidRDefault="002465E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d) Animal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>Feed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>Sciencie</w:t>
            </w:r>
            <w:proofErr w:type="spellEnd"/>
            <w:r w:rsidRPr="002276BB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1990-2014</w:t>
            </w:r>
            <w:r w:rsidRPr="002276BB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                </w:t>
            </w:r>
          </w:p>
        </w:tc>
      </w:tr>
    </w:tbl>
    <w:p w:rsidR="002465EC" w:rsidRPr="00751702" w:rsidRDefault="002465EC" w:rsidP="002465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65EC" w:rsidRPr="00751702" w:rsidRDefault="002465EC" w:rsidP="002465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3B13" w:rsidRDefault="002465EC" w:rsidP="002465EC">
      <w:r w:rsidRPr="00751702">
        <w:rPr>
          <w:rFonts w:ascii="Times New Roman" w:hAnsi="Times New Roman"/>
          <w:b/>
          <w:sz w:val="24"/>
          <w:szCs w:val="24"/>
        </w:rPr>
        <w:br w:type="page"/>
      </w:r>
    </w:p>
    <w:sectPr w:rsidR="00183B13" w:rsidSect="002465E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D"/>
    <w:multiLevelType w:val="hybridMultilevel"/>
    <w:tmpl w:val="10F299E2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8300A9"/>
    <w:multiLevelType w:val="hybridMultilevel"/>
    <w:tmpl w:val="F6B87B0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0C4C81"/>
    <w:multiLevelType w:val="hybridMultilevel"/>
    <w:tmpl w:val="4AB808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A2EDE"/>
    <w:multiLevelType w:val="hybridMultilevel"/>
    <w:tmpl w:val="8968BF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87D1A"/>
    <w:multiLevelType w:val="hybridMultilevel"/>
    <w:tmpl w:val="1680954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A33194"/>
    <w:multiLevelType w:val="hybridMultilevel"/>
    <w:tmpl w:val="8E40D47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A770034"/>
    <w:multiLevelType w:val="hybridMultilevel"/>
    <w:tmpl w:val="164808D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F47790"/>
    <w:multiLevelType w:val="hybridMultilevel"/>
    <w:tmpl w:val="7F6EFC0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806161"/>
    <w:multiLevelType w:val="hybridMultilevel"/>
    <w:tmpl w:val="3CAE671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465EC"/>
    <w:rsid w:val="00183B13"/>
    <w:rsid w:val="0024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5EC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2465EC"/>
    <w:pPr>
      <w:spacing w:after="0" w:line="240" w:lineRule="auto"/>
      <w:jc w:val="both"/>
    </w:pPr>
    <w:rPr>
      <w:rFonts w:ascii="Arial" w:eastAsia="Times New Roman" w:hAnsi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2465EC"/>
    <w:rPr>
      <w:rFonts w:ascii="Arial" w:eastAsia="Times New Roman" w:hAnsi="Arial" w:cs="Times New Roman"/>
      <w:sz w:val="20"/>
      <w:szCs w:val="20"/>
      <w:lang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2465EC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2465EC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5466</Characters>
  <Application>Microsoft Office Word</Application>
  <DocSecurity>0</DocSecurity>
  <Lines>45</Lines>
  <Paragraphs>12</Paragraphs>
  <ScaleCrop>false</ScaleCrop>
  <Company> </Company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2016-07-25T19:55:00Z</dcterms:created>
  <dcterms:modified xsi:type="dcterms:W3CDTF">2016-07-25T19:56:00Z</dcterms:modified>
</cp:coreProperties>
</file>