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29E5" w:rsidRPr="001A3E7F" w:rsidRDefault="004029E5" w:rsidP="004029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PASTOS Y FORRAJES TROPICALES</w:t>
      </w:r>
    </w:p>
    <w:p w:rsidR="004029E5" w:rsidRPr="001A3E7F" w:rsidRDefault="004029E5" w:rsidP="004029E5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18"/>
        <w:gridCol w:w="3913"/>
        <w:gridCol w:w="51"/>
      </w:tblGrid>
      <w:tr w:rsidR="004029E5" w:rsidRPr="00BD05AE" w:rsidTr="004D2475">
        <w:tc>
          <w:tcPr>
            <w:tcW w:w="6572" w:type="dxa"/>
            <w:gridSpan w:val="3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622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4029E5" w:rsidRPr="00BD05AE" w:rsidTr="004D2475">
        <w:tc>
          <w:tcPr>
            <w:tcW w:w="13144" w:type="dxa"/>
            <w:gridSpan w:val="9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4029E5" w:rsidRPr="00BD05AE" w:rsidTr="004D2475">
        <w:tc>
          <w:tcPr>
            <w:tcW w:w="6629" w:type="dxa"/>
            <w:gridSpan w:val="4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análisis y síntesis de trabajos científicos relacionados con el área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Facultad para trabajar y resolver problemas en equipo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entender el funcionamiento del sistema a través del aprendizaje y actualización permanentemente.</w:t>
            </w:r>
          </w:p>
        </w:tc>
        <w:tc>
          <w:tcPr>
            <w:tcW w:w="6515" w:type="dxa"/>
            <w:gridSpan w:val="5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mejorarlos, en el marco de un proceso de investigación científica interdisciplinaria, con base en criterios de sustentabilidad económica, ambiental y social.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029E5" w:rsidRPr="00BD05AE" w:rsidTr="004D2475">
        <w:tc>
          <w:tcPr>
            <w:tcW w:w="13144" w:type="dxa"/>
            <w:gridSpan w:val="9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una estrategia de manejo de pastos y forrajes dentro de las explotaciones ganaderas que respondan al compromiso general de sustentabilidad, desempeño económico y respeto al medio.</w:t>
            </w:r>
          </w:p>
        </w:tc>
      </w:tr>
      <w:tr w:rsidR="004029E5" w:rsidRPr="00BD05AE" w:rsidTr="004D2475">
        <w:tc>
          <w:tcPr>
            <w:tcW w:w="6644" w:type="dxa"/>
            <w:gridSpan w:val="5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4029E5" w:rsidRPr="00BD05AE" w:rsidRDefault="004029E5" w:rsidP="004029E5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Evaluar el potencial del valor alimenticio de los pastos y forrajes.</w:t>
            </w:r>
          </w:p>
          <w:p w:rsidR="004029E5" w:rsidRPr="00BD05AE" w:rsidRDefault="004029E5" w:rsidP="004029E5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Describir las reglas que explican la relación entre la planta y el animal para cubrir las necesidades de ambos.</w:t>
            </w:r>
          </w:p>
          <w:p w:rsidR="004029E5" w:rsidRPr="00BD05AE" w:rsidRDefault="004029E5" w:rsidP="004029E5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t>Describir las técnicas de pastoreo desarrolladas con atención particular al sistema rotacional.</w:t>
            </w:r>
          </w:p>
          <w:p w:rsidR="004029E5" w:rsidRPr="00BD05AE" w:rsidRDefault="004029E5" w:rsidP="004029E5">
            <w:pPr>
              <w:numPr>
                <w:ilvl w:val="0"/>
                <w:numId w:val="1"/>
              </w:numPr>
              <w:spacing w:before="100" w:beforeAutospacing="1"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D05AE"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  <w:lastRenderedPageBreak/>
              <w:t>Explicar las reglas de conservación de forrajes por la vía seca y húmeda.</w:t>
            </w:r>
          </w:p>
          <w:p w:rsidR="004029E5" w:rsidRPr="00BD05AE" w:rsidRDefault="004029E5" w:rsidP="004D2475">
            <w:pPr>
              <w:spacing w:before="100" w:beforeAutospacing="1" w:after="0" w:line="240" w:lineRule="auto"/>
              <w:ind w:left="7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0" w:type="dxa"/>
            <w:gridSpan w:val="4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de artículos científicos que evalúen el valor alimenticio de diferentes pastos 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Mapa conceptual que explique la relación entre la planta forrajera y el animal.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Dos esquemas de pastoreo en dos pastos con hábito de crecimiento contrastantes.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Análisis comparativo del valor nutritivo del forraje verde, seco y henificado.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integral de prácticas de campo y laboratorio.</w:t>
            </w:r>
          </w:p>
          <w:p w:rsidR="004029E5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9E5" w:rsidRPr="00BD05AE" w:rsidTr="004D2475">
        <w:trPr>
          <w:gridAfter w:val="1"/>
          <w:wAfter w:w="51" w:type="dxa"/>
        </w:trPr>
        <w:tc>
          <w:tcPr>
            <w:tcW w:w="4361" w:type="dxa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Valor nutritivo de los pastos y forrajes verdes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ind w:left="555"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Morfología de gramíneas y leguminosas</w:t>
            </w:r>
          </w:p>
          <w:p w:rsidR="004029E5" w:rsidRPr="00A960C7" w:rsidRDefault="004029E5" w:rsidP="004029E5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Composición química de gramíneas y leguminosas</w:t>
            </w:r>
          </w:p>
          <w:p w:rsidR="004029E5" w:rsidRPr="00A960C7" w:rsidRDefault="004029E5" w:rsidP="004029E5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Degradabilidad</w:t>
            </w:r>
            <w:proofErr w:type="spellEnd"/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 xml:space="preserve"> de gramíneas y leguminosas</w:t>
            </w:r>
          </w:p>
          <w:p w:rsidR="004029E5" w:rsidRPr="00A960C7" w:rsidRDefault="004029E5" w:rsidP="004029E5">
            <w:pPr>
              <w:pStyle w:val="Prrafodelista"/>
              <w:numPr>
                <w:ilvl w:val="1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Maíz y Sorgos</w:t>
            </w:r>
          </w:p>
          <w:p w:rsidR="004029E5" w:rsidRPr="00A960C7" w:rsidRDefault="004029E5" w:rsidP="004029E5">
            <w:pPr>
              <w:pStyle w:val="Prrafodelista"/>
              <w:numPr>
                <w:ilvl w:val="2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Valor nutritivo del maíz planta entera</w:t>
            </w:r>
          </w:p>
          <w:p w:rsidR="004029E5" w:rsidRPr="00A960C7" w:rsidRDefault="004029E5" w:rsidP="004029E5">
            <w:pPr>
              <w:pStyle w:val="Prrafodelista"/>
              <w:numPr>
                <w:ilvl w:val="2"/>
                <w:numId w:val="13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Valor nutritivo del sorgo planta entera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Manejo de Praderas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2.1 Reglas relativas al pasto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2.1.1 Estacionalidad de producción a lo largo del año.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2.1.2 Estado de desarrollo de la planta y rendimiento de materia seca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 xml:space="preserve">2.1.3 Preservación del potencial de </w:t>
            </w: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lastRenderedPageBreak/>
              <w:t>desarrollo de la planta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2.1.4 Carga animal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2.2 Reglas relativas al animal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2.2.1 Comportamiento alimenticio de los rumiantes en pastoreo.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2.2.2 Ingestión del pasto por los bovinos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 xml:space="preserve">2.2.3 La </w:t>
            </w:r>
            <w:proofErr w:type="spellStart"/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suplementación</w:t>
            </w:r>
            <w:proofErr w:type="spellEnd"/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 xml:space="preserve"> de bovinos en pastoreo.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2.3 Técnicas de Pastoreo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2.3.1 Pastoreo libre o extensivo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2.3.2 Pastoreo alterno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2.3.3 Pastoreo rotacional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</w:pPr>
            <w:r w:rsidRPr="00A960C7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  <w:lang w:val="es-MX"/>
              </w:rPr>
              <w:t>Conservación de forrajes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3.1 Conservación por la vía seca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3.1.1 El proceso de secado de los forrajes verdes.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3.1.2 El efecto de la operación de secado sobre el forraje cortado.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3.1.3 Impacto de las operaciones de secado sobre los forrajes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3.2 Conservación por la vía húmeda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3.2.1Los microorganismos que intervienen en la fermentación de ensilados.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3.2.2 La actividad enzimática de las células del forraje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Style w:val="Textoennegrita"/>
                <w:rFonts w:ascii="Times New Roman" w:hAnsi="Times New Roman"/>
                <w:b w:val="0"/>
                <w:color w:val="333333"/>
                <w:sz w:val="24"/>
                <w:szCs w:val="24"/>
              </w:rPr>
            </w:pPr>
            <w:r w:rsidRPr="00BD05AE">
              <w:rPr>
                <w:rStyle w:val="Textoennegrita"/>
                <w:rFonts w:ascii="Times New Roman" w:hAnsi="Times New Roman"/>
                <w:color w:val="333333"/>
                <w:sz w:val="24"/>
                <w:szCs w:val="24"/>
              </w:rPr>
              <w:t>3.2.3 El ensilado de maíz planta entera.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6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 1. Variación morfológica con la edad de la planta en gramíneas y leguminosas forrajeras. Se utilizará el jardín de especies forrajeras del INIFAP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y discusión de artículos científicos sobre el efecto ambiental y edad de la planta en las variaciones del valor nutritivo del maíz y sorgo. 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 2: Caracterización de un rancho productor de ganado de cría con énfasis al sistema de pastoreo y al aprovechamiento de la producción de materia seca de sus praderas.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 3: Comparación y análisis de las variaciones del rendimiento de materia seca y concentración de proteína entre un forraje verde, henificado y ensilado.</w:t>
            </w:r>
          </w:p>
        </w:tc>
        <w:tc>
          <w:tcPr>
            <w:tcW w:w="3913" w:type="dxa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Atento y participativo en clases.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Facilidad para integrarse a equipos de trabajo.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Respetuoso, crítico y tolerante.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29E5" w:rsidRPr="00BD05AE" w:rsidTr="004D2475">
        <w:tc>
          <w:tcPr>
            <w:tcW w:w="13144" w:type="dxa"/>
            <w:gridSpan w:val="9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4029E5" w:rsidRPr="00BD05AE" w:rsidTr="004D2475">
        <w:tc>
          <w:tcPr>
            <w:tcW w:w="6572" w:type="dxa"/>
            <w:gridSpan w:val="3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ACTIVIDADES DE APRENDIZAJE CON EL DOCENTE: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y discusión de artículos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científicosrelacionados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con los temas del curso en mesas redondas.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y discusión de los temas presentados en el curso y de las prácticas a realizarse.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 las prácticas realizadas en campo y laboratorio, se impulsará el aprendizaje basado en experimentos realizados por los alumnos.</w:t>
            </w:r>
          </w:p>
        </w:tc>
        <w:tc>
          <w:tcPr>
            <w:tcW w:w="6572" w:type="dxa"/>
            <w:gridSpan w:val="6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 de artículos científicos relacionados con los temas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Reportes de lectura de los artículos y su discusión en mesas redondas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Trabajos en equipos. Reporte de las prácticas realizadas.</w:t>
            </w:r>
          </w:p>
        </w:tc>
      </w:tr>
      <w:tr w:rsidR="004029E5" w:rsidRPr="00BD05AE" w:rsidTr="004D2475">
        <w:tc>
          <w:tcPr>
            <w:tcW w:w="4381" w:type="dxa"/>
            <w:gridSpan w:val="2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 la normatividad vigente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Se requiere la realización de las prácticas.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 se hará una valoración del desarrollo del curso.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2" w:type="dxa"/>
            <w:gridSpan w:val="3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50% Reporte integral de prácticas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Mapa Conceptual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Dos esquemas de pastoreo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Análisis comparativo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10% Análisis de artículos</w:t>
            </w:r>
          </w:p>
          <w:p w:rsidR="004029E5" w:rsidRPr="00BD05AE" w:rsidRDefault="004029E5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29E5" w:rsidRPr="00BD05AE" w:rsidTr="004D2475">
        <w:tc>
          <w:tcPr>
            <w:tcW w:w="6572" w:type="dxa"/>
            <w:gridSpan w:val="3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BD05AE" w:rsidRDefault="004029E5" w:rsidP="004029E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Vignau-Loustau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L.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Huyghe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C. 2008.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Stratégiesfourragères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Pâturage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-Ensilage-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Foin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Editions France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Agricole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Paris, France. 336 p.</w:t>
            </w:r>
          </w:p>
          <w:p w:rsidR="004029E5" w:rsidRPr="00BD05AE" w:rsidRDefault="004029E5" w:rsidP="004029E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Pearson C.J. y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Ison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R.J. 2005. Agronomy of Grassland Systems. Second Edition. Cambridge University Press. 222 p.</w:t>
            </w:r>
          </w:p>
          <w:p w:rsidR="004029E5" w:rsidRPr="00BD05AE" w:rsidRDefault="004029E5" w:rsidP="004029E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Boschma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S.P., Scott J.M., Hill M.J., King J.R.,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Lutton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J.J. 2003. Plant reserves of perennial grasses subjected to drought and defoliation stresses on the Northern Tablelands of New South Wales,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Autralia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Australian Journal of Agricultural Research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54: 819 – 828</w:t>
            </w:r>
          </w:p>
          <w:p w:rsidR="004029E5" w:rsidRPr="00BD05AE" w:rsidRDefault="004029E5" w:rsidP="004029E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Sotomayor-Ríos A.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Pitman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W.D. 2001.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Tropical Forage plants: Development and Use. CRC press Florida. USA. 391 p.</w:t>
            </w:r>
          </w:p>
          <w:p w:rsidR="004029E5" w:rsidRPr="00BD05AE" w:rsidRDefault="004029E5" w:rsidP="004029E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Bogdan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A.V. 1997. Pastos tropicales y plantas de forraje. AGT Editor, S.A., México.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461 p.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Béranger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C.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Micol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D. 1981.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Utilisation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l’herbe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par les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bovinsaupâturage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Importance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du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chargement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et du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moded’exploitation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Fourrage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85: 73- 93.</w:t>
            </w:r>
          </w:p>
          <w:p w:rsidR="004029E5" w:rsidRPr="00A960C7" w:rsidRDefault="004029E5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6572" w:type="dxa"/>
            <w:gridSpan w:val="6"/>
            <w:shd w:val="clear" w:color="auto" w:fill="auto"/>
          </w:tcPr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COMPLEMENTARIA:</w:t>
            </w:r>
          </w:p>
          <w:p w:rsidR="004029E5" w:rsidRPr="00BD05AE" w:rsidRDefault="004029E5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Prieto I., Violle C., Barre P.,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Durand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J.L.,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Ghesquiere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M.,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Litrico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I. 2015.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Complementary effects of species and genetic diversity on productivity and stability of sown grasslands.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NaturePlants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Articlenumber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15033. 5 p.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Simili D.S.,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Tremblay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G.F.,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Bélanger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G.,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Lajeunesse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J.,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Papadopoulos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Y.A.,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Fillmore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S.A.E.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Jobim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C.C. 2014.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Forage energy to protein ratio of several legume-grass complex mixture. 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Animal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FeedScience</w:t>
            </w:r>
            <w:proofErr w:type="spellEnd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 and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Technology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188: 17 – 27.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Bolaños-Aguilar E.D.,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Emile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J.C.,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Audebert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G. 2012. Rendimiento y calidad de híbridos de sorgo con y sin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nervadura café. 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Rev.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Mex</w:t>
            </w:r>
            <w:proofErr w:type="spellEnd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. de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Cienc</w:t>
            </w:r>
            <w:proofErr w:type="spellEnd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Agric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3(1): 441- 44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Bolaños-Aguilar E.D.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Emile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J.C. 2011. Distancia entre surcos en el rendimiento y calidad de la materia seca del maíz y sorgo. </w:t>
            </w:r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Rev.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Mex</w:t>
            </w:r>
            <w:proofErr w:type="spellEnd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Cienc</w:t>
            </w:r>
            <w:proofErr w:type="spellEnd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.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Pec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2(3): 299 – 312</w:t>
            </w:r>
          </w:p>
          <w:p w:rsidR="004029E5" w:rsidRPr="00A960C7" w:rsidRDefault="004029E5" w:rsidP="00402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Juárez H.J., Bolaños A.E.D., Vargas L.M., Medina S., Martínez H.P.A. 2011. Curvas de dilución de la proteína en genotipos de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Brachiariahumidicola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(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Rendle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)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Schweick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Rev. Cub. </w:t>
            </w:r>
            <w:proofErr w:type="spellStart"/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Cienc</w:t>
            </w:r>
            <w:proofErr w:type="spellEnd"/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. Agric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45(3): 321 – 331.</w:t>
            </w:r>
          </w:p>
          <w:p w:rsidR="004029E5" w:rsidRPr="00BD05AE" w:rsidRDefault="004029E5" w:rsidP="004029E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Bolaños-Aguilar E.D.,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Emile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J.C. y Enríquez-Quiroz F.J. 2010.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Les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Fourrages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Mexique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ressources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valorisation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etperspectives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recherche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D05A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Fourrage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204: 277 – 282</w:t>
            </w:r>
          </w:p>
        </w:tc>
      </w:tr>
    </w:tbl>
    <w:p w:rsidR="004029E5" w:rsidRPr="001A3E7F" w:rsidRDefault="004029E5" w:rsidP="004029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Default="004029E5" w:rsidP="004029E5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4029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1B11"/>
    <w:multiLevelType w:val="multilevel"/>
    <w:tmpl w:val="31889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16CC3E67"/>
    <w:multiLevelType w:val="hybridMultilevel"/>
    <w:tmpl w:val="4A8E803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B45635"/>
    <w:multiLevelType w:val="hybridMultilevel"/>
    <w:tmpl w:val="50B6A9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204DA6"/>
    <w:multiLevelType w:val="hybridMultilevel"/>
    <w:tmpl w:val="51942CF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292C0A"/>
    <w:multiLevelType w:val="hybridMultilevel"/>
    <w:tmpl w:val="C5B64B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66EAE"/>
    <w:multiLevelType w:val="hybridMultilevel"/>
    <w:tmpl w:val="04D0E7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05AE4"/>
    <w:multiLevelType w:val="hybridMultilevel"/>
    <w:tmpl w:val="44B4163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F9622C"/>
    <w:multiLevelType w:val="hybridMultilevel"/>
    <w:tmpl w:val="8166B32C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B51F60"/>
    <w:multiLevelType w:val="multilevel"/>
    <w:tmpl w:val="29A05A4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62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92" w:hanging="1800"/>
      </w:pPr>
      <w:rPr>
        <w:rFonts w:hint="default"/>
      </w:rPr>
    </w:lvl>
  </w:abstractNum>
  <w:abstractNum w:abstractNumId="9">
    <w:nsid w:val="56F53630"/>
    <w:multiLevelType w:val="hybridMultilevel"/>
    <w:tmpl w:val="2804AA4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9CC2295"/>
    <w:multiLevelType w:val="hybridMultilevel"/>
    <w:tmpl w:val="6468835E"/>
    <w:lvl w:ilvl="0" w:tplc="F1780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80CFD"/>
    <w:multiLevelType w:val="multilevel"/>
    <w:tmpl w:val="FEEE9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616AC"/>
    <w:multiLevelType w:val="hybridMultilevel"/>
    <w:tmpl w:val="BE60EE9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3E14605"/>
    <w:multiLevelType w:val="hybridMultilevel"/>
    <w:tmpl w:val="EB98D10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13"/>
  </w:num>
  <w:num w:numId="9">
    <w:abstractNumId w:val="12"/>
  </w:num>
  <w:num w:numId="10">
    <w:abstractNumId w:val="9"/>
  </w:num>
  <w:num w:numId="11">
    <w:abstractNumId w:val="1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029E5"/>
    <w:rsid w:val="00183B13"/>
    <w:rsid w:val="0040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E5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4029E5"/>
    <w:pPr>
      <w:ind w:left="708"/>
    </w:pPr>
    <w:rPr>
      <w:lang/>
    </w:rPr>
  </w:style>
  <w:style w:type="character" w:styleId="Textoennegrita">
    <w:name w:val="Strong"/>
    <w:uiPriority w:val="22"/>
    <w:qFormat/>
    <w:rsid w:val="004029E5"/>
    <w:rPr>
      <w:b/>
      <w:bCs/>
    </w:rPr>
  </w:style>
  <w:style w:type="character" w:customStyle="1" w:styleId="PrrafodelistaCar">
    <w:name w:val="Párrafo de lista Car"/>
    <w:aliases w:val="Inciso Car"/>
    <w:link w:val="Prrafodelista"/>
    <w:uiPriority w:val="34"/>
    <w:rsid w:val="004029E5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5796</Characters>
  <Application>Microsoft Office Word</Application>
  <DocSecurity>0</DocSecurity>
  <Lines>48</Lines>
  <Paragraphs>13</Paragraphs>
  <ScaleCrop>false</ScaleCrop>
  <Company> 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2016-07-25T20:38:00Z</dcterms:created>
  <dcterms:modified xsi:type="dcterms:W3CDTF">2016-07-25T20:39:00Z</dcterms:modified>
</cp:coreProperties>
</file>