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FERTILIZACIÓN SUSTENTABLE DE CULTIVOS Y PLANTACIONES</w:t>
      </w:r>
    </w:p>
    <w:p w:rsidR="006B316C" w:rsidRPr="001A3E7F" w:rsidRDefault="006B316C" w:rsidP="006B316C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6B316C" w:rsidRPr="00BD05AE" w:rsidTr="004D2475">
        <w:tc>
          <w:tcPr>
            <w:tcW w:w="6572" w:type="dxa"/>
            <w:gridSpan w:val="3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630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6B316C" w:rsidRPr="00BD05AE" w:rsidTr="004D2475">
        <w:tc>
          <w:tcPr>
            <w:tcW w:w="13144" w:type="dxa"/>
            <w:gridSpan w:val="8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6B316C" w:rsidRPr="00BD05AE" w:rsidTr="004D2475">
        <w:tc>
          <w:tcPr>
            <w:tcW w:w="6629" w:type="dxa"/>
            <w:gridSpan w:val="4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análisis, síntesis y para identificar, planear y resolver problemas.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Pensamiento crítico y autocrítico.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trabajar en un equipo interdisciplinario.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ético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generar ideas creativas</w:t>
            </w:r>
          </w:p>
          <w:p w:rsidR="006B316C" w:rsidRDefault="006B316C" w:rsidP="006B316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Iniciativa y espíritu emprendedor.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515" w:type="dxa"/>
            <w:gridSpan w:val="4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para la producción agroalimentaria en el trópico, con base en criterios de sustentabilidad.</w:t>
            </w:r>
          </w:p>
        </w:tc>
      </w:tr>
      <w:tr w:rsidR="006B316C" w:rsidRPr="00BD05AE" w:rsidTr="004D2475">
        <w:tc>
          <w:tcPr>
            <w:tcW w:w="13144" w:type="dxa"/>
            <w:gridSpan w:val="8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Formular dosis de fertilización sustentables para cultivos y plantaciones, basados en un método conceptual simplificado y en fundamentos técnico-agronómicos para su mejor aprovechamiento.</w:t>
            </w:r>
          </w:p>
        </w:tc>
      </w:tr>
      <w:tr w:rsidR="006B316C" w:rsidRPr="00BD05AE" w:rsidTr="004D2475">
        <w:tc>
          <w:tcPr>
            <w:tcW w:w="6644" w:type="dxa"/>
            <w:gridSpan w:val="5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parámetros que influyen en la potencialidad de los rendimientos en los cultivos tropicales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Manejar conceptos relacionados con la estimación del suministro nutrimental del suelo, la demanda de nutrientes de los cultivos y plantaciones; y la eficiencia de aprovechamiento de los fertilizantes.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Solución de problemas relacionados con  estimación de dosis de fertilización, considerando el uso  conceptual de los componentes que intervienen en la respuesta de los cultivos a la aplicación de dosis de fertilización.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Ensayo sobre parámetros de suelo, planta y clima que condicionan la potencialidad de rendimientos en cultivos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tropicales.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sobre concepciones en la estimación del suministro nutrimental del suelo, la demanda de nutrientes de los cultivos y plantaciones y,  la eficiencia de aprovechamiento de los fertilizantes.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sobre la estimación de dosis de fertilización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6C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UNIDAD I.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MÉTODOS PARA ESTIMAR DOSIS DE FERTILIZACIÓN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 Dosis de fertilización y sustentabilidad edáfica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El análisis químico del suelo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El análisis químico de plantas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La media regional o yuxtaposición 1.5. El método empírico.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UNIDAD II. BASES DEL MODELO CONCEPTUAL PARA ESTIMAR DOSIS DE FERTILIZACIÓN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2.1. Suministro del suelo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2.1.1. La disponibilidad de los nutrimentos mayores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2.1.2. La disponibilidad de los micronutrimentos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2.2. La demanda del cultivo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2.2.1. La estimación de los rendimientos potenciales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2.2.1.1. El clima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2.2.1.2. El suelo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2.2.1.3. La expresión genética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2.3. La eficiencia de los fertilizantes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2.3.1. La dinámica nutrimental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2.3.2. Comportamiento temporal y espacial de los nutrimentos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2.3.3. La exploración radical y las limitaciones ambientales.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UNIDAD III. DOSIS DE FERTILIZACIÓN PARA CULTIVOS ANUALES Y PLANTACIONES DEL TRÓPICO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3.1. Estimación del suministro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3.2. Estimación de la demanda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3.3. Estimación de la eficiencia de fertilización.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UNIDAD IV. ASPECTOS TÉCNICO-AGRONÓMICOS PARA EL USO EFICIENTE DE LOS FERTILIZANTES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4.1. Los fertilizantes químicos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4.2. Los fertilizantes orgánicos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4.3. La tipología del productor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4.4. El manejo agronómico y la época, método y tipo fertilizante.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búsquedas de bibliografía específica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informes y exposiciones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Plantear soluciones a problemas de la selección del método para estimar dosis de fertilización 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Analizar aspectos físicos, químicos y biológicos relacionados con la estimación del suministro de nutrimentos del suelo. 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Manejar recursos que permitan estimar la demanda de los cultivos considerando el rendimiento máximo esperado. 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información relacionada con la eficiencia de los fertilizantes.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el método conceptual simplificado para estimar dosis de fertilización para cultivos y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plantaciones.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y defensa de sus ideas.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a las ideas de sus compañeros.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Responsabilidad social. 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los productores.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Preservación del medio ambiente.</w:t>
            </w:r>
          </w:p>
          <w:p w:rsidR="006B316C" w:rsidRPr="00A960C7" w:rsidRDefault="006B316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Discusión.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16C" w:rsidRPr="00BD05AE" w:rsidTr="004D2475">
        <w:tc>
          <w:tcPr>
            <w:tcW w:w="13144" w:type="dxa"/>
            <w:gridSpan w:val="8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6B316C" w:rsidRPr="00BD05AE" w:rsidTr="004D2475">
        <w:tc>
          <w:tcPr>
            <w:tcW w:w="6572" w:type="dxa"/>
            <w:gridSpan w:val="3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CON EL DOCENTE: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de temas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en equipos y grupal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campo y laboratorio.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bibliográfica.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Lectura, análisis y síntesis de artículos científicos para su discusión en el aula.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los reportes de las prácticas de laboratorio y campo.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ensayos.</w:t>
            </w: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experiencias </w:t>
            </w:r>
          </w:p>
        </w:tc>
      </w:tr>
      <w:tr w:rsidR="006B316C" w:rsidRPr="00BD05AE" w:rsidTr="004D2475">
        <w:tc>
          <w:tcPr>
            <w:tcW w:w="4381" w:type="dxa"/>
            <w:gridSpan w:val="2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A960C7" w:rsidRDefault="006B316C" w:rsidP="006B316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Al término de cada una de las evidencias de aprendizaje. 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Reportes y ensayos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50% Presentación de los resultados finales </w:t>
            </w:r>
          </w:p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20% Evidencia de competencias </w:t>
            </w:r>
          </w:p>
        </w:tc>
      </w:tr>
      <w:tr w:rsidR="006B316C" w:rsidRPr="00BD05AE" w:rsidTr="004D2475">
        <w:tc>
          <w:tcPr>
            <w:tcW w:w="6572" w:type="dxa"/>
            <w:gridSpan w:val="3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16C" w:rsidRPr="00BD05AE" w:rsidRDefault="006B316C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Carrillo A.E. Rivera H.B. Obrador O.J.J. Juárez, L.J.F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y 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L.A. Aceves N.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2008.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 simple model to relate the maize yield to the soil water potential and to the phosphatized fertilization. In press.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Fletcher A.L. Moot D.J. Stone P.J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2006. The effect of fertilizer P on crop biomass production, partitioning and quality in ‘Challenger’ sweet corn.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Aust. J. Agric. Res. 57, 1213–1219.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Rodríguez S. J.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1987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Desarrollo de normas de fertilización para el cultivo de maíz y la cebada en el estado de Tlaxcala. Colegio de Postgraduados, Montecillo, México.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Rodríguez S. J.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1992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Manual de fertilización, Santiago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Chile, Pontificia Universidad Católica de Chile, 362 p.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Schachtman D.P. Reid R.J. Ayling S.M.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1998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Phosphorus uptake by plants: from soil to cell. Plant Physiol. 116, 447–453.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Soil Survey Laboratory Staff,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1992. Soil Survey Laboratory Methods Manual. Soil Survey Investigations Report No. 42. Versión 2.0 United States Department of Agriculture.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Bertch, F., 2003.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Absorción de nutrimentos por los cultivos. San José, Costa Rica. Asociación Costarricense de la Ciencia del Suelo. 307 p.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Palma-López, D. J.; Cisneros, D.E.; Moreno C.E y Rincón-Ramírez, J.A.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2007. Suelos de Tabasco: Su Uso y Manejo Sustentable. Colegio de Postgraduados-ISPROTAB-FRUPROTAB. Villahermosa, Tabasco, México. 194 p.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Alcántar G.G. y Trejo-Téllez L.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2007. Nutrición de cultivos. Mundi-prensa México.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Colegio de Postgraduados. 454p. 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Berg B. McClaugherty C.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2008. Plant litter: Decomposition, humus formation, carbon sequestration.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2.º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edición. Berlín (Alemania): Springer-Verlag. p. 338.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Marschner H.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1995. Mineral nutrition of higher plants. Second Edition. Academic Press Inc., San Diego CA.pp 245-281.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Schroth G. and Sinclair F. L.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2003.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Trees, crops and soil fertility: concepts and research methods.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Wallingford, UK: CAB International.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316C" w:rsidRPr="00BD05AE" w:rsidRDefault="006B316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Obrador O. J.J.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1991. Dinámica del fósforo en unidades de suelos del estado de Tabasco. </w:t>
            </w:r>
            <w:r w:rsidRPr="009809EA">
              <w:rPr>
                <w:rFonts w:ascii="Times New Roman" w:hAnsi="Times New Roman"/>
                <w:sz w:val="24"/>
                <w:szCs w:val="24"/>
              </w:rPr>
              <w:t>Tesis Profesional. Universidad Veracruzana. Orizaba, Veracruz, México.</w:t>
            </w: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Secretaría de Medio Ambiente, Recursos Naturales y Pesca (SERMANAP). </w:t>
            </w:r>
            <w:r w:rsidRPr="009809EA">
              <w:rPr>
                <w:rFonts w:ascii="Times New Roman" w:hAnsi="Times New Roman"/>
                <w:sz w:val="24"/>
                <w:szCs w:val="24"/>
              </w:rPr>
              <w:t xml:space="preserve">2000.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Proyecto de Norma Oficial Mexicana PROY-NOM-021-RECNAT-2000, Que establece las especificaciones de fertilidad, salinidad y clasificación de suelos.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Estudios, muestreo y análisis.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Current world fertilizer trends and outlook to 2016. FAO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2016. Food and Agriculture Organization of the United Nations Rome, 43.pp</w:t>
            </w:r>
          </w:p>
          <w:p w:rsidR="006B316C" w:rsidRPr="009809EA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316C" w:rsidRPr="00BD05AE" w:rsidRDefault="006B316C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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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Salgado G. S. Palma L. D. J. Zavala C. J. Lagunes E. L .C. Castelán E. M. Ortiz G. C. F. Juárez L. J. F. Ruiz R. O. Armida A. L. and Rincón R. J. A.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2010. A sustainable fertilisation program or a sugarfactory in Mexico: a principle for precisión agricultura.  Proc. Int. Sugar. Cane. Technol., vol 27. 8p.</w:t>
            </w:r>
          </w:p>
          <w:p w:rsidR="006B316C" w:rsidRPr="00A960C7" w:rsidRDefault="006B316C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16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:rsidR="006B316C" w:rsidRPr="001A3E7F" w:rsidRDefault="006B316C" w:rsidP="006B3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6B316C" w:rsidP="006B316C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6B316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C59"/>
    <w:multiLevelType w:val="hybridMultilevel"/>
    <w:tmpl w:val="218680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816B6"/>
    <w:multiLevelType w:val="hybridMultilevel"/>
    <w:tmpl w:val="FEDE1B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D206A"/>
    <w:multiLevelType w:val="hybridMultilevel"/>
    <w:tmpl w:val="D33417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3A7F"/>
    <w:multiLevelType w:val="hybridMultilevel"/>
    <w:tmpl w:val="9EEA1DB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E31B6"/>
    <w:multiLevelType w:val="hybridMultilevel"/>
    <w:tmpl w:val="2920369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B537A1"/>
    <w:multiLevelType w:val="hybridMultilevel"/>
    <w:tmpl w:val="233AE2D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942C4C"/>
    <w:multiLevelType w:val="hybridMultilevel"/>
    <w:tmpl w:val="39E804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5334C1"/>
    <w:multiLevelType w:val="hybridMultilevel"/>
    <w:tmpl w:val="49C6B64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121894"/>
    <w:multiLevelType w:val="hybridMultilevel"/>
    <w:tmpl w:val="28082B9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B4928"/>
    <w:multiLevelType w:val="hybridMultilevel"/>
    <w:tmpl w:val="846450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316C"/>
    <w:rsid w:val="00183B13"/>
    <w:rsid w:val="006B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6C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6B316C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6B316C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6351</Characters>
  <Application>Microsoft Office Word</Application>
  <DocSecurity>0</DocSecurity>
  <Lines>52</Lines>
  <Paragraphs>14</Paragraphs>
  <ScaleCrop>false</ScaleCrop>
  <Company> 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2016-07-25T19:24:00Z</dcterms:created>
  <dcterms:modified xsi:type="dcterms:W3CDTF">2016-07-25T19:24:00Z</dcterms:modified>
</cp:coreProperties>
</file>