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A3" w:rsidRPr="001A3E7F" w:rsidRDefault="002543A3" w:rsidP="00254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COLEGIO DE POSTGRADUADOS</w:t>
      </w:r>
    </w:p>
    <w:p w:rsidR="002543A3" w:rsidRPr="001A3E7F" w:rsidRDefault="002543A3" w:rsidP="00254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CAMPUS TABASCO</w:t>
      </w:r>
    </w:p>
    <w:p w:rsidR="002543A3" w:rsidRPr="001A3E7F" w:rsidRDefault="002543A3" w:rsidP="00254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3A3" w:rsidRPr="001A3E7F" w:rsidRDefault="002543A3" w:rsidP="00254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MAESTRÍA EN CIENCIAS EN PRODUCCIÓN AGROALIMENTARIA EN EL TRÓPICO</w:t>
      </w:r>
    </w:p>
    <w:p w:rsidR="002543A3" w:rsidRPr="001A3E7F" w:rsidRDefault="002543A3" w:rsidP="00254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43A3" w:rsidRPr="001A3E7F" w:rsidRDefault="002543A3" w:rsidP="00254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PROGRAMA DE ESTUDIO</w:t>
      </w:r>
    </w:p>
    <w:p w:rsidR="002543A3" w:rsidRPr="001A3E7F" w:rsidRDefault="002543A3" w:rsidP="002543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43A3" w:rsidRPr="001A3E7F" w:rsidRDefault="002543A3" w:rsidP="00254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 xml:space="preserve">ESTRATEGIAS DE ORGANIZACIÓN DE PRODUCTORES </w:t>
      </w:r>
    </w:p>
    <w:p w:rsidR="002543A3" w:rsidRPr="001A3E7F" w:rsidRDefault="002543A3" w:rsidP="00254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1"/>
        <w:gridCol w:w="405"/>
        <w:gridCol w:w="1559"/>
        <w:gridCol w:w="227"/>
        <w:gridCol w:w="2190"/>
        <w:gridCol w:w="418"/>
        <w:gridCol w:w="3913"/>
        <w:gridCol w:w="51"/>
      </w:tblGrid>
      <w:tr w:rsidR="002543A3" w:rsidRPr="00BD05AE" w:rsidTr="004D2475">
        <w:tc>
          <w:tcPr>
            <w:tcW w:w="6572" w:type="dxa"/>
            <w:gridSpan w:val="4"/>
            <w:shd w:val="clear" w:color="auto" w:fill="auto"/>
          </w:tcPr>
          <w:p w:rsidR="002543A3" w:rsidRPr="00BD05AE" w:rsidRDefault="002543A3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CLAVE: PAT 626</w:t>
            </w:r>
          </w:p>
        </w:tc>
        <w:tc>
          <w:tcPr>
            <w:tcW w:w="6572" w:type="dxa"/>
            <w:gridSpan w:val="4"/>
            <w:shd w:val="clear" w:color="auto" w:fill="auto"/>
          </w:tcPr>
          <w:p w:rsidR="002543A3" w:rsidRPr="00BD05AE" w:rsidRDefault="002543A3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CRÉDITOS: 3</w:t>
            </w:r>
          </w:p>
        </w:tc>
      </w:tr>
      <w:tr w:rsidR="002543A3" w:rsidRPr="00BD05AE" w:rsidTr="004D2475">
        <w:tc>
          <w:tcPr>
            <w:tcW w:w="13144" w:type="dxa"/>
            <w:gridSpan w:val="8"/>
            <w:shd w:val="clear" w:color="auto" w:fill="auto"/>
          </w:tcPr>
          <w:p w:rsidR="002543A3" w:rsidRPr="00BD05AE" w:rsidRDefault="002543A3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COMPETENCIAS</w:t>
            </w:r>
          </w:p>
        </w:tc>
      </w:tr>
      <w:tr w:rsidR="002543A3" w:rsidRPr="00BD05AE" w:rsidTr="004D2475">
        <w:tc>
          <w:tcPr>
            <w:tcW w:w="6345" w:type="dxa"/>
            <w:gridSpan w:val="3"/>
            <w:shd w:val="clear" w:color="auto" w:fill="auto"/>
          </w:tcPr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GENÉRICAS: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para la organización y planeación.</w:t>
            </w: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para identificar, planear y resolver problemas.</w:t>
            </w: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Trabajo en equipo.</w:t>
            </w: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Apreciación de la diversidad y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multiculturalidad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motivar y conducir hacia metas comunes.</w:t>
            </w: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aplicar el conocimiento en la práctica.</w:t>
            </w:r>
          </w:p>
          <w:p w:rsidR="002543A3" w:rsidRPr="007D2E98" w:rsidRDefault="002543A3" w:rsidP="002543A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Diseño y gestión de proyectos</w:t>
            </w:r>
          </w:p>
        </w:tc>
        <w:tc>
          <w:tcPr>
            <w:tcW w:w="6799" w:type="dxa"/>
            <w:gridSpan w:val="5"/>
            <w:shd w:val="clear" w:color="auto" w:fill="auto"/>
          </w:tcPr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ESPECÍFICAS:</w:t>
            </w:r>
          </w:p>
          <w:p w:rsidR="002543A3" w:rsidRPr="00BD05AE" w:rsidRDefault="002543A3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Construir referentes teóricos de las dimensiones políticas, sociales, económicas y ambientales de la producción agroalimentaria para aplicarlo en problemáticas o proyectos focalizados con enfoque crítico, participativo e interdisciplinario.</w:t>
            </w:r>
          </w:p>
        </w:tc>
      </w:tr>
      <w:tr w:rsidR="002543A3" w:rsidRPr="00BD05AE" w:rsidTr="004D2475">
        <w:tc>
          <w:tcPr>
            <w:tcW w:w="13144" w:type="dxa"/>
            <w:gridSpan w:val="8"/>
            <w:shd w:val="clear" w:color="auto" w:fill="auto"/>
          </w:tcPr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PROPÓSITO GENERAL: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Diseñar una estrategia de organización rural para que los productores del medio rural logren desarrollar habilidades de autogestión y autogobierno en los procesos de producción agroalimentaria del trópico.</w:t>
            </w:r>
          </w:p>
        </w:tc>
      </w:tr>
      <w:tr w:rsidR="002543A3" w:rsidRPr="00BD05AE" w:rsidTr="004D2475">
        <w:tc>
          <w:tcPr>
            <w:tcW w:w="6345" w:type="dxa"/>
            <w:gridSpan w:val="3"/>
            <w:shd w:val="clear" w:color="auto" w:fill="auto"/>
          </w:tcPr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APRENDIZAJES ESPERADOS: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Elaborar un marco teórico conceptual sobre estrategias de asociación y organización</w:t>
            </w: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Describir  el marco jurídico de las asociaciones y organizaciones rurales y empresariales</w:t>
            </w: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Elaborar un reporte técnico de diagnostico de organización de productores</w:t>
            </w: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Diseñar un modelo de asociación y organización exitosa con usando elementos teóricos de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autopoiesis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Diseñar de una estrategia de organización de productores.</w:t>
            </w:r>
          </w:p>
        </w:tc>
        <w:tc>
          <w:tcPr>
            <w:tcW w:w="6799" w:type="dxa"/>
            <w:gridSpan w:val="5"/>
            <w:shd w:val="clear" w:color="auto" w:fill="auto"/>
          </w:tcPr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EVIDENCIAS DE APRENDIZAJE: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Marco teórico conceptual sobre estrategias</w:t>
            </w:r>
          </w:p>
          <w:p w:rsidR="002543A3" w:rsidRPr="00A960C7" w:rsidRDefault="002543A3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Diagrama sobre el Marco Jurídico</w:t>
            </w:r>
          </w:p>
          <w:p w:rsidR="002543A3" w:rsidRPr="00A960C7" w:rsidRDefault="002543A3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Reporte técnico de diagnostico</w:t>
            </w:r>
          </w:p>
          <w:p w:rsidR="002543A3" w:rsidRPr="00A960C7" w:rsidRDefault="002543A3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Modelo asociación y organización</w:t>
            </w:r>
          </w:p>
          <w:p w:rsidR="002543A3" w:rsidRPr="00A960C7" w:rsidRDefault="002543A3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Proyecto sobre la estrategia de organización de productores.</w:t>
            </w:r>
          </w:p>
        </w:tc>
      </w:tr>
      <w:tr w:rsidR="002543A3" w:rsidRPr="00BD05AE" w:rsidTr="004D2475">
        <w:trPr>
          <w:gridAfter w:val="1"/>
          <w:wAfter w:w="51" w:type="dxa"/>
        </w:trPr>
        <w:tc>
          <w:tcPr>
            <w:tcW w:w="4786" w:type="dxa"/>
            <w:gridSpan w:val="2"/>
            <w:shd w:val="clear" w:color="auto" w:fill="auto"/>
          </w:tcPr>
          <w:p w:rsidR="002543A3" w:rsidRPr="00BD05AE" w:rsidRDefault="002543A3" w:rsidP="004D2475">
            <w:pPr>
              <w:pStyle w:val="Ttulo2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>CONTENIDOS CONCEPTUALES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CONTENIDOS PROCEDIMENTALES</w:t>
            </w:r>
          </w:p>
        </w:tc>
        <w:tc>
          <w:tcPr>
            <w:tcW w:w="3913" w:type="dxa"/>
            <w:shd w:val="clear" w:color="auto" w:fill="auto"/>
          </w:tcPr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CONTENIDOS ACTITUDINALES</w:t>
            </w:r>
          </w:p>
        </w:tc>
      </w:tr>
      <w:tr w:rsidR="002543A3" w:rsidRPr="00BD05AE" w:rsidTr="004D2475">
        <w:trPr>
          <w:gridAfter w:val="1"/>
          <w:wAfter w:w="51" w:type="dxa"/>
        </w:trPr>
        <w:tc>
          <w:tcPr>
            <w:tcW w:w="4786" w:type="dxa"/>
            <w:gridSpan w:val="2"/>
            <w:shd w:val="clear" w:color="auto" w:fill="auto"/>
          </w:tcPr>
          <w:p w:rsidR="002543A3" w:rsidRPr="00BD05AE" w:rsidRDefault="002543A3" w:rsidP="004D2475">
            <w:pPr>
              <w:pStyle w:val="Ttulo2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543A3" w:rsidRPr="00BD05AE" w:rsidRDefault="002543A3" w:rsidP="004D2475">
            <w:pPr>
              <w:pStyle w:val="Ttulo2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I. ESTRATEGIAS DE ASOCIACIÓN Y ORGANIZACIÓN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:rsidR="002543A3" w:rsidRPr="00A960C7" w:rsidRDefault="002543A3" w:rsidP="002543A3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 w:eastAsia="es-ES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La asociación y la organización.</w:t>
            </w:r>
          </w:p>
          <w:p w:rsidR="002543A3" w:rsidRPr="00A960C7" w:rsidRDefault="002543A3" w:rsidP="002543A3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 w:eastAsia="es-ES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Teorías de asociación y organización</w:t>
            </w:r>
          </w:p>
          <w:p w:rsidR="002543A3" w:rsidRPr="00A960C7" w:rsidRDefault="002543A3" w:rsidP="002543A3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 w:eastAsia="es-ES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 w:eastAsia="es-ES"/>
              </w:rPr>
              <w:t>Las estrategias de desarrollo regional sustentable : estrategias de asociación y organización</w:t>
            </w:r>
          </w:p>
          <w:p w:rsidR="002543A3" w:rsidRPr="00A960C7" w:rsidRDefault="002543A3" w:rsidP="002543A3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 w:eastAsia="es-ES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 w:eastAsia="es-ES"/>
              </w:rPr>
              <w:t>Metodología de planeación estratégica en la organización</w:t>
            </w:r>
          </w:p>
          <w:p w:rsidR="002543A3" w:rsidRPr="00BD05AE" w:rsidRDefault="002543A3" w:rsidP="004D2475">
            <w:pPr>
              <w:pStyle w:val="Ttulo2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543A3" w:rsidRPr="00BD05AE" w:rsidRDefault="002543A3" w:rsidP="004D2475">
            <w:pPr>
              <w:pStyle w:val="Ttulo2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II. MARCO JURÍDICO DE LAS ASOCIACIONES Y ORGANIZACIONES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2.1 El derecho consuetudinario  y derecho positivo en las asociaciones y organizaciones rurales y empresariales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2.2 Definición del derecho consuetudinario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2.3 Normas y leyes en las asociaciones y organizaciones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2.3.1 Normatividad nacional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2.3.2 Normatividad estatal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2.3.3 Normatividad municipal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2.3.4 Normatividad comunitaria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>2.3.5 Normatividad familiar</w:t>
            </w:r>
          </w:p>
          <w:p w:rsidR="002543A3" w:rsidRPr="00BD05AE" w:rsidRDefault="002543A3" w:rsidP="004D2475">
            <w:pPr>
              <w:pStyle w:val="Textoindependiente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43A3" w:rsidRPr="00BD05AE" w:rsidRDefault="002543A3" w:rsidP="004D2475">
            <w:pPr>
              <w:pStyle w:val="Textoindependiente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III. EL DIAGNÓSTICO PARA EL ANÁLISIS Y DESARROLLO DE ASOCIACIONES Y ORGANIZACIONES</w:t>
            </w:r>
          </w:p>
          <w:p w:rsidR="002543A3" w:rsidRPr="00BD05AE" w:rsidRDefault="002543A3" w:rsidP="004D2475">
            <w:pPr>
              <w:pStyle w:val="Textoindependient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en-US"/>
              </w:rPr>
            </w:pPr>
          </w:p>
          <w:p w:rsidR="002543A3" w:rsidRPr="00BD05AE" w:rsidRDefault="002543A3" w:rsidP="004D2475">
            <w:pPr>
              <w:pStyle w:val="Textoindependient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en-US"/>
              </w:rPr>
            </w:pPr>
            <w:proofErr w:type="gramStart"/>
            <w:r w:rsidRPr="00BD05AE">
              <w:rPr>
                <w:rFonts w:ascii="Times New Roman" w:hAnsi="Times New Roman"/>
                <w:color w:val="000000"/>
                <w:sz w:val="24"/>
                <w:szCs w:val="24"/>
                <w:lang w:val="pt-BR" w:eastAsia="en-US"/>
              </w:rPr>
              <w:t>3.1 El</w:t>
            </w:r>
            <w:proofErr w:type="gramEnd"/>
            <w:r w:rsidRPr="00BD05AE">
              <w:rPr>
                <w:rFonts w:ascii="Times New Roman" w:hAnsi="Times New Roman"/>
                <w:color w:val="000000"/>
                <w:sz w:val="24"/>
                <w:szCs w:val="24"/>
                <w:lang w:val="pt-BR" w:eastAsia="en-US"/>
              </w:rPr>
              <w:t xml:space="preserve"> diagnóstico</w:t>
            </w:r>
          </w:p>
          <w:p w:rsidR="002543A3" w:rsidRPr="00BD05AE" w:rsidRDefault="002543A3" w:rsidP="004D2475">
            <w:pPr>
              <w:pStyle w:val="Textoindependient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en-US"/>
              </w:rPr>
            </w:pPr>
            <w:r w:rsidRPr="00BD05AE">
              <w:rPr>
                <w:rFonts w:ascii="Times New Roman" w:hAnsi="Times New Roman"/>
                <w:color w:val="000000"/>
                <w:sz w:val="24"/>
                <w:szCs w:val="24"/>
                <w:lang w:val="pt-BR" w:eastAsia="en-US"/>
              </w:rPr>
              <w:t>3.2 Métodos de diagnóstico</w:t>
            </w:r>
          </w:p>
          <w:p w:rsidR="002543A3" w:rsidRPr="00BD05AE" w:rsidRDefault="002543A3" w:rsidP="004D2475">
            <w:pPr>
              <w:pStyle w:val="Textoindependient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s-ES_tradnl" w:eastAsia="en-US"/>
              </w:rPr>
            </w:pPr>
            <w:r w:rsidRPr="00BD05AE">
              <w:rPr>
                <w:rFonts w:ascii="Times New Roman" w:hAnsi="Times New Roman"/>
                <w:color w:val="000000"/>
                <w:sz w:val="24"/>
                <w:szCs w:val="24"/>
                <w:lang w:val="es-ES_tradnl" w:eastAsia="en-US"/>
              </w:rPr>
              <w:t>3.4 Práctica de diagnóstico en asociaciones y organizaciones de comunidades rurales del trópico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IV. ORGANIZACIÓN CAMPESINA Y EMPRESARIAL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4.1. La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autopoiesis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de los sistemas sociales campesinos.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4.2. La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autopoiesis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de las sociedades campesinas.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4.3.  Sistemas campesino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autogestivos</w:t>
            </w:r>
            <w:proofErr w:type="spellEnd"/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4.4 Elementos estructurales de la organización campesina y empresarial.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4.5. Organizaciones campesinas y empresariales exitosas y no exitosas.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V. MÉTODOLOGÍAS PARA EL DISEÑO DE LA ESTRATEGIA DE ORGANIZACIÓN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5.1.  Metodología clásica de diseño de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estrategia 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eastAsia="es-ES"/>
              </w:rPr>
              <w:t>5.2.Metodología de planeación estratégica en la organización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shd w:val="clear" w:color="auto" w:fill="auto"/>
          </w:tcPr>
          <w:p w:rsidR="002543A3" w:rsidRPr="00A960C7" w:rsidRDefault="002543A3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Diseñar estrategias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Planeación estratégica</w:t>
            </w:r>
          </w:p>
          <w:p w:rsidR="002543A3" w:rsidRPr="00A960C7" w:rsidRDefault="002543A3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Diagnostico participativo</w:t>
            </w:r>
          </w:p>
          <w:p w:rsidR="002543A3" w:rsidRPr="00A960C7" w:rsidRDefault="002543A3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Organización de productores</w:t>
            </w:r>
          </w:p>
        </w:tc>
        <w:tc>
          <w:tcPr>
            <w:tcW w:w="3913" w:type="dxa"/>
            <w:shd w:val="clear" w:color="auto" w:fill="auto"/>
          </w:tcPr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Cultura y disciplina 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Defensa teórica y debate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Trabajo en equipo efectivo y afectivo 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social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Liderazgo y organización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Creatividad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Autogestión 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3A3" w:rsidRPr="00BD05AE" w:rsidTr="004D2475">
        <w:tc>
          <w:tcPr>
            <w:tcW w:w="13144" w:type="dxa"/>
            <w:gridSpan w:val="8"/>
            <w:shd w:val="clear" w:color="auto" w:fill="auto"/>
          </w:tcPr>
          <w:p w:rsidR="002543A3" w:rsidRPr="00BD05AE" w:rsidRDefault="002543A3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METODOLOGÍA PARA LA CONSTRUCCIÓN DEL CONOCIMIENTO</w:t>
            </w:r>
          </w:p>
        </w:tc>
      </w:tr>
      <w:tr w:rsidR="002543A3" w:rsidRPr="00BD05AE" w:rsidTr="004D2475">
        <w:tc>
          <w:tcPr>
            <w:tcW w:w="6345" w:type="dxa"/>
            <w:gridSpan w:val="3"/>
            <w:shd w:val="clear" w:color="auto" w:fill="auto"/>
          </w:tcPr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CON EL DOCENTE: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Realizar visitas guiadas por el Profesor del curso a las asociaciones y organizaciones de productores. Usando guión de entrevistas grabadoras y cámaras de video.</w:t>
            </w: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Análisis de caso de microempresas de productores organizados que están produciendo y comercializando en el ámbito nacional e internacional cacao criollo grano blanco.</w:t>
            </w: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Construcción de modelos teóricos de organizaciones exitosas y no exitosas basándose con el modelo teórico de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Elinor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Ostrom</w:t>
            </w:r>
            <w:proofErr w:type="spellEnd"/>
            <w:r w:rsidRPr="00A960C7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 xml:space="preserve"> 2014 de organizaciones </w:t>
            </w:r>
            <w:proofErr w:type="spellStart"/>
            <w:r w:rsidRPr="00A960C7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autogestivas</w:t>
            </w:r>
            <w:proofErr w:type="spellEnd"/>
            <w:r w:rsidRPr="00A960C7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 xml:space="preserve"> de autogobierno en el manejo de los recursos de uso común.</w:t>
            </w:r>
          </w:p>
          <w:p w:rsidR="002543A3" w:rsidRPr="00A960C7" w:rsidRDefault="002543A3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  <w:lang w:val="es-MX"/>
              </w:rPr>
            </w:pPr>
          </w:p>
          <w:p w:rsidR="002543A3" w:rsidRPr="00A960C7" w:rsidRDefault="002543A3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6799" w:type="dxa"/>
            <w:gridSpan w:val="5"/>
            <w:shd w:val="clear" w:color="auto" w:fill="auto"/>
          </w:tcPr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AUTÓNOMO: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Lecturas de libros y capítulos de libro</w:t>
            </w: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Resúmenes de artículos y libros</w:t>
            </w: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Trabajo en equipo</w:t>
            </w: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Revisión documental de casos exitosos de asociación y organización de productores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3A3" w:rsidRPr="00BD05AE" w:rsidTr="004D2475">
        <w:tc>
          <w:tcPr>
            <w:tcW w:w="4381" w:type="dxa"/>
            <w:shd w:val="clear" w:color="auto" w:fill="auto"/>
          </w:tcPr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ACREDITACIÓN: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 acuerdo a la normatividad vigente.</w:t>
            </w:r>
          </w:p>
          <w:p w:rsidR="002543A3" w:rsidRPr="00A960C7" w:rsidRDefault="002543A3" w:rsidP="004D2475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Entrega del diseño de la estrategia de organización de productores.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4"/>
            <w:shd w:val="clear" w:color="auto" w:fill="auto"/>
          </w:tcPr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EVALUACIÓN: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Evaluación para valora el estado de conocimiento y experiencia de los estudiantes.</w:t>
            </w:r>
          </w:p>
          <w:p w:rsidR="002543A3" w:rsidRPr="00A960C7" w:rsidRDefault="002543A3" w:rsidP="002543A3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Evaluación </w:t>
            </w:r>
            <w:proofErr w:type="gram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continua</w:t>
            </w:r>
            <w:proofErr w:type="gram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al término de cada unidad y con respecto a las evidencias de aprendizaje.</w:t>
            </w:r>
          </w:p>
        </w:tc>
        <w:tc>
          <w:tcPr>
            <w:tcW w:w="4382" w:type="dxa"/>
            <w:gridSpan w:val="3"/>
            <w:shd w:val="clear" w:color="auto" w:fill="auto"/>
          </w:tcPr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CALIFICACIÓN: 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15% Marco teórico conceptual</w:t>
            </w:r>
          </w:p>
          <w:p w:rsidR="002543A3" w:rsidRPr="00A960C7" w:rsidRDefault="002543A3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15% Diagrama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15% Reporte técnico de diagnóstico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15% Modelo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40% Proyecto</w:t>
            </w:r>
          </w:p>
        </w:tc>
      </w:tr>
      <w:tr w:rsidR="002543A3" w:rsidRPr="00BD05AE" w:rsidTr="004D2475">
        <w:tc>
          <w:tcPr>
            <w:tcW w:w="6345" w:type="dxa"/>
            <w:gridSpan w:val="3"/>
            <w:shd w:val="clear" w:color="auto" w:fill="auto"/>
          </w:tcPr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BIBLIOGRAFÍA BÁSICA:</w:t>
            </w:r>
          </w:p>
        </w:tc>
        <w:tc>
          <w:tcPr>
            <w:tcW w:w="6799" w:type="dxa"/>
            <w:gridSpan w:val="5"/>
            <w:shd w:val="clear" w:color="auto" w:fill="auto"/>
          </w:tcPr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BIBLIOGRAFÍA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COMPLEMENTARIA:</w:t>
            </w:r>
          </w:p>
        </w:tc>
      </w:tr>
      <w:tr w:rsidR="002543A3" w:rsidRPr="00BD05AE" w:rsidTr="004D2475">
        <w:tc>
          <w:tcPr>
            <w:tcW w:w="6345" w:type="dxa"/>
            <w:gridSpan w:val="3"/>
            <w:shd w:val="clear" w:color="auto" w:fill="auto"/>
          </w:tcPr>
          <w:p w:rsidR="002543A3" w:rsidRPr="00BD05AE" w:rsidRDefault="002543A3" w:rsidP="004D247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CARTÓN, De G, H. 1996.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La organización gremial de los agricultores frente a los procesos de globalización en la agricultura. </w:t>
            </w:r>
            <w:proofErr w:type="spellStart"/>
            <w:proofErr w:type="gramStart"/>
            <w:r w:rsidRPr="00BD05AE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  <w:proofErr w:type="gram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21-69. En: C. DE GRAMONT, H. “Neoliberalismo y Organización Social en el Campo Mexicano. 486 p.</w:t>
            </w:r>
          </w:p>
          <w:p w:rsidR="002543A3" w:rsidRPr="00BD05AE" w:rsidRDefault="002543A3" w:rsidP="004D247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CONSTITUCIÓN POLÍTICA DE LOS ETADOS UNIDOS MEXICANOS 2015</w:t>
            </w:r>
            <w:r w:rsidRPr="00BD05A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Editorial Secretaría de Gobernación Estado de México.</w:t>
            </w:r>
          </w:p>
          <w:p w:rsidR="002543A3" w:rsidRPr="00BD05AE" w:rsidRDefault="002543A3" w:rsidP="004D247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CHARLES, P.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5AE">
              <w:rPr>
                <w:rFonts w:ascii="Times New Roman" w:hAnsi="Times New Roman"/>
                <w:b/>
                <w:bCs/>
                <w:sz w:val="24"/>
                <w:szCs w:val="24"/>
              </w:rPr>
              <w:t>1982.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Análisis de la organización. Editorial CECSA. Segunda impresión. 267 p.</w:t>
            </w:r>
          </w:p>
          <w:p w:rsidR="002543A3" w:rsidRPr="00BD05AE" w:rsidRDefault="002543A3" w:rsidP="004D247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MOUSELIS, N.P. 1973.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Organización y burocracia. Un análisis de las teorías modernas sobre organizaciones sociales. Ediciones Península.233p.</w:t>
            </w:r>
          </w:p>
          <w:p w:rsidR="002543A3" w:rsidRPr="00BD05AE" w:rsidRDefault="002543A3" w:rsidP="004D247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bCs/>
                <w:sz w:val="24"/>
                <w:szCs w:val="24"/>
              </w:rPr>
              <w:t>MUÑOZ R.</w:t>
            </w:r>
            <w:proofErr w:type="gramStart"/>
            <w:r w:rsidRPr="00BD05AE">
              <w:rPr>
                <w:rFonts w:ascii="Times New Roman" w:hAnsi="Times New Roman"/>
                <w:b/>
                <w:bCs/>
                <w:sz w:val="24"/>
                <w:szCs w:val="24"/>
              </w:rPr>
              <w:t>,M</w:t>
            </w:r>
            <w:proofErr w:type="gramEnd"/>
            <w:r w:rsidRPr="00BD05AE">
              <w:rPr>
                <w:rFonts w:ascii="Times New Roman" w:hAnsi="Times New Roman"/>
                <w:b/>
                <w:bCs/>
                <w:sz w:val="24"/>
                <w:szCs w:val="24"/>
              </w:rPr>
              <w:t>; SANTOYO C.,VH. 1996.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Visión y Misión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Agroempresarial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. Competencia y Cooperación en el Medio Rural. 2ª ed. Ed. Editorial Universidad Autónoma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Chapingo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. 334 p.</w:t>
            </w:r>
          </w:p>
          <w:p w:rsidR="002543A3" w:rsidRPr="00BD05AE" w:rsidRDefault="002543A3" w:rsidP="004D247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b/>
                <w:bCs/>
                <w:sz w:val="24"/>
                <w:szCs w:val="24"/>
              </w:rPr>
              <w:t>NIÑO, E.V. 1993.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Conciencia individual y conciencia colectiva en el desarrollo social general.1-26 pp. En: Navarro, H.; Tomás, M. y Escalona, M. 1993. Enfoques y perspectivas en el desarrollo rural. Colegio de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postgraduados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. Colegio de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Postgraduados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. Centros de estudios del desarrollo rural.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439 p.</w:t>
            </w:r>
          </w:p>
          <w:p w:rsidR="002543A3" w:rsidRPr="00BD05AE" w:rsidRDefault="002543A3" w:rsidP="004D247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OSTROM, E. 1990.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Goberning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commons. The evolution of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instituciones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collective action Cambridge University Press. Printed in the United State of America 279 p.</w:t>
            </w:r>
          </w:p>
          <w:p w:rsidR="002543A3" w:rsidRPr="00BD05AE" w:rsidRDefault="002543A3" w:rsidP="004D247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SAHLINS, M. 1983.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Economía de la edad de piedra.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Akal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Editor, Madrid España. 166 p.</w:t>
            </w:r>
          </w:p>
          <w:p w:rsidR="002543A3" w:rsidRPr="00BD05AE" w:rsidRDefault="002543A3" w:rsidP="004D247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SÁNCHEZ, H. M. 1978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. Organización y comercialización: un estudio en San Nicolás de los Ranchos, Puebla. Tesis de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Maestria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. Especialista en divulgación agrícola. Colegio de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Postgrduados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Chapingo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, México.</w:t>
            </w:r>
          </w:p>
          <w:p w:rsidR="002543A3" w:rsidRPr="00BD05AE" w:rsidRDefault="002543A3" w:rsidP="004D247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SCOTT, A. GREER</w:t>
            </w:r>
            <w:r w:rsidRPr="00BD05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1966. Organización social. Editorial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Paidos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, Buenos Aires.</w:t>
            </w:r>
          </w:p>
          <w:p w:rsidR="002543A3" w:rsidRPr="00BD05AE" w:rsidRDefault="002543A3" w:rsidP="004D247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bCs/>
                <w:sz w:val="24"/>
                <w:szCs w:val="24"/>
              </w:rPr>
              <w:t>SHEJTMAN, A. 1980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. Economía campesina: lógica interna, articulación y persistencia. En: Revista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Cepal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05AE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  <w:proofErr w:type="gram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121-140.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bCs/>
                <w:sz w:val="24"/>
                <w:szCs w:val="24"/>
              </w:rPr>
              <w:t>SILVERMAN, D. 1975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. Teoría de las organizaciones.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Editorial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Heineman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Educational Books Ltd.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Ediciones Nueva Visión SAIC. 298 p.</w:t>
            </w: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WOLF, E.R. 1975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.Los campesinos. Editorial Labor. Segunda edición.</w:t>
            </w:r>
          </w:p>
          <w:p w:rsidR="002543A3" w:rsidRPr="00BD05AE" w:rsidRDefault="002543A3" w:rsidP="004D2475">
            <w:pPr>
              <w:spacing w:before="120" w:after="0" w:line="240" w:lineRule="auto"/>
              <w:ind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WOL </w:t>
            </w:r>
            <w:r w:rsidRPr="00BD05AE">
              <w:rPr>
                <w:rFonts w:ascii="Times New Roman" w:hAnsi="Times New Roman"/>
                <w:b/>
                <w:bCs/>
                <w:sz w:val="24"/>
                <w:szCs w:val="24"/>
              </w:rPr>
              <w:t>BARKIN. D, D.1978.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Desarrollo regional y reorganización campesina. La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Chontalpa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como reflejo del problema agropecuario mexicano. Centro de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ecodesarrollo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. Ed. Nueva Imagen, México, D.F. 135 p. </w:t>
            </w:r>
          </w:p>
          <w:p w:rsidR="002543A3" w:rsidRPr="00BD05AE" w:rsidRDefault="002543A3" w:rsidP="004D2475">
            <w:pPr>
              <w:spacing w:before="120" w:after="0" w:line="240" w:lineRule="auto"/>
              <w:ind w:hanging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43A3" w:rsidRPr="007D2E98" w:rsidRDefault="002543A3" w:rsidP="004D2475">
            <w:pPr>
              <w:spacing w:before="120" w:after="0" w:line="240" w:lineRule="auto"/>
              <w:ind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</w:t>
            </w:r>
          </w:p>
        </w:tc>
        <w:tc>
          <w:tcPr>
            <w:tcW w:w="6799" w:type="dxa"/>
            <w:gridSpan w:val="5"/>
            <w:shd w:val="clear" w:color="auto" w:fill="auto"/>
          </w:tcPr>
          <w:p w:rsidR="002543A3" w:rsidRPr="00BD05AE" w:rsidRDefault="002543A3" w:rsidP="004D247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CHAYANOV, A.</w:t>
            </w:r>
            <w:proofErr w:type="gramStart"/>
            <w:r w:rsidRPr="00BD05AE">
              <w:rPr>
                <w:rFonts w:ascii="Times New Roman" w:hAnsi="Times New Roman"/>
                <w:b/>
                <w:bCs/>
                <w:sz w:val="24"/>
                <w:szCs w:val="24"/>
              </w:rPr>
              <w:t>,V</w:t>
            </w:r>
            <w:proofErr w:type="gramEnd"/>
            <w:r w:rsidRPr="00BD05AE">
              <w:rPr>
                <w:rFonts w:ascii="Times New Roman" w:hAnsi="Times New Roman"/>
                <w:b/>
                <w:bCs/>
                <w:sz w:val="24"/>
                <w:szCs w:val="24"/>
              </w:rPr>
              <w:t>. 1974.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La organización de la unidad económica Campesina traducción de Rosa Ma.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Russovich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. 1 ed. ediciones Nueva Visión, Buenos Aires. 342 p.</w:t>
            </w:r>
          </w:p>
          <w:p w:rsidR="002543A3" w:rsidRPr="00BD05AE" w:rsidRDefault="002543A3" w:rsidP="004D247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CHIAVENATO, 2014.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Introducción a la teoría general de la administración. Editorial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McGraw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Hill. Tercera edición en español. 527-547 pp.</w:t>
            </w:r>
          </w:p>
          <w:p w:rsidR="002543A3" w:rsidRPr="00BD05AE" w:rsidRDefault="002543A3" w:rsidP="004D2475">
            <w:pPr>
              <w:pStyle w:val="Encabezado"/>
              <w:rPr>
                <w:rFonts w:ascii="Times New Roman" w:hAnsi="Times New Roman"/>
                <w:sz w:val="24"/>
                <w:szCs w:val="24"/>
              </w:rPr>
            </w:pPr>
          </w:p>
          <w:p w:rsidR="002543A3" w:rsidRPr="00BD05AE" w:rsidRDefault="002543A3" w:rsidP="004D2475">
            <w:pPr>
              <w:pStyle w:val="Encabezado"/>
              <w:rPr>
                <w:rFonts w:ascii="Times New Roman" w:hAnsi="Times New Roman"/>
                <w:sz w:val="24"/>
                <w:szCs w:val="24"/>
              </w:rPr>
            </w:pPr>
          </w:p>
          <w:p w:rsidR="002543A3" w:rsidRPr="00BD05AE" w:rsidRDefault="002543A3" w:rsidP="004D2475">
            <w:pPr>
              <w:pStyle w:val="Encabezado"/>
              <w:rPr>
                <w:rFonts w:ascii="Times New Roman" w:hAnsi="Times New Roman"/>
                <w:sz w:val="24"/>
                <w:szCs w:val="24"/>
              </w:rPr>
            </w:pPr>
          </w:p>
          <w:p w:rsidR="002543A3" w:rsidRPr="00BD05AE" w:rsidRDefault="002543A3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43A3" w:rsidRPr="001A3E7F" w:rsidRDefault="002543A3" w:rsidP="00254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3A3" w:rsidRPr="001A3E7F" w:rsidRDefault="002543A3" w:rsidP="002543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E7F">
        <w:rPr>
          <w:rFonts w:ascii="Times New Roman" w:hAnsi="Times New Roman"/>
          <w:sz w:val="24"/>
          <w:szCs w:val="24"/>
        </w:rPr>
        <w:br w:type="page"/>
      </w:r>
    </w:p>
    <w:p w:rsidR="00183B13" w:rsidRDefault="00183B13"/>
    <w:sectPr w:rsidR="00183B13" w:rsidSect="002543A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F7C"/>
    <w:multiLevelType w:val="multilevel"/>
    <w:tmpl w:val="8A72B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EF928F5"/>
    <w:multiLevelType w:val="hybridMultilevel"/>
    <w:tmpl w:val="1698364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C55F17"/>
    <w:multiLevelType w:val="hybridMultilevel"/>
    <w:tmpl w:val="C64C05D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0C6FDE"/>
    <w:multiLevelType w:val="hybridMultilevel"/>
    <w:tmpl w:val="E63AF4F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89324E"/>
    <w:multiLevelType w:val="hybridMultilevel"/>
    <w:tmpl w:val="FC9CB43E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63D53"/>
    <w:multiLevelType w:val="hybridMultilevel"/>
    <w:tmpl w:val="C88E892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270B16"/>
    <w:multiLevelType w:val="hybridMultilevel"/>
    <w:tmpl w:val="1390F36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E75EF7"/>
    <w:multiLevelType w:val="hybridMultilevel"/>
    <w:tmpl w:val="02D2809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B3317"/>
    <w:multiLevelType w:val="hybridMultilevel"/>
    <w:tmpl w:val="2C482840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0F29D6"/>
    <w:multiLevelType w:val="hybridMultilevel"/>
    <w:tmpl w:val="48E2851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43A3"/>
    <w:rsid w:val="00183B13"/>
    <w:rsid w:val="0025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A3"/>
    <w:pPr>
      <w:spacing w:after="160" w:line="259" w:lineRule="auto"/>
    </w:pPr>
    <w:rPr>
      <w:rFonts w:ascii="Cambria" w:eastAsia="Cambria" w:hAnsi="Cambria" w:cs="Times New Roman"/>
      <w:lang w:val="es-MX"/>
    </w:rPr>
  </w:style>
  <w:style w:type="paragraph" w:styleId="Ttulo2">
    <w:name w:val="heading 2"/>
    <w:basedOn w:val="Normal"/>
    <w:next w:val="Normal"/>
    <w:link w:val="Ttulo2Car1"/>
    <w:qFormat/>
    <w:rsid w:val="002543A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254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Ttulo2Car1">
    <w:name w:val="Título 2 Car1"/>
    <w:link w:val="Ttulo2"/>
    <w:rsid w:val="002543A3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Encabezado">
    <w:name w:val="header"/>
    <w:basedOn w:val="Normal"/>
    <w:link w:val="EncabezadoCar"/>
    <w:uiPriority w:val="99"/>
    <w:unhideWhenUsed/>
    <w:rsid w:val="00254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3A3"/>
    <w:rPr>
      <w:rFonts w:ascii="Cambria" w:eastAsia="Cambria" w:hAnsi="Cambria" w:cs="Times New Roman"/>
      <w:lang w:val="es-MX"/>
    </w:rPr>
  </w:style>
  <w:style w:type="paragraph" w:styleId="Textoindependiente">
    <w:name w:val="Body Text"/>
    <w:basedOn w:val="Normal"/>
    <w:link w:val="TextoindependienteCar"/>
    <w:rsid w:val="002543A3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2543A3"/>
    <w:rPr>
      <w:rFonts w:ascii="Arial" w:eastAsia="Times New Roman" w:hAnsi="Arial" w:cs="Times New Roman"/>
      <w:sz w:val="20"/>
      <w:szCs w:val="20"/>
      <w:lang/>
    </w:rPr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2543A3"/>
    <w:pPr>
      <w:ind w:left="708"/>
    </w:pPr>
    <w:rPr>
      <w:lang/>
    </w:rPr>
  </w:style>
  <w:style w:type="character" w:customStyle="1" w:styleId="PrrafodelistaCar">
    <w:name w:val="Párrafo de lista Car"/>
    <w:aliases w:val="Inciso Car"/>
    <w:link w:val="Prrafodelista"/>
    <w:uiPriority w:val="34"/>
    <w:rsid w:val="002543A3"/>
    <w:rPr>
      <w:rFonts w:ascii="Cambria" w:eastAsia="Cambria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1103</Words>
  <Characters>6071</Characters>
  <Application>Microsoft Office Word</Application>
  <DocSecurity>0</DocSecurity>
  <Lines>50</Lines>
  <Paragraphs>14</Paragraphs>
  <ScaleCrop>false</ScaleCrop>
  <Company> 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2016-07-25T19:20:00Z</dcterms:created>
  <dcterms:modified xsi:type="dcterms:W3CDTF">2016-07-25T19:21:00Z</dcterms:modified>
</cp:coreProperties>
</file>